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DB50D">
      <w:pPr>
        <w:jc w:val="left"/>
        <w:rPr>
          <w:rFonts w:ascii="宋体" w:hAnsi="宋体" w:cs="宋体"/>
          <w:color w:val="auto"/>
          <w:sz w:val="44"/>
          <w:szCs w:val="44"/>
          <w:highlight w:val="none"/>
        </w:rPr>
      </w:pPr>
    </w:p>
    <w:p w14:paraId="4E4E531E">
      <w:pPr>
        <w:tabs>
          <w:tab w:val="left" w:pos="2450"/>
        </w:tabs>
        <w:spacing w:line="680" w:lineRule="exact"/>
        <w:rPr>
          <w:rFonts w:ascii="宋体" w:hAnsi="宋体" w:cs="宋体"/>
          <w:color w:val="auto"/>
          <w:sz w:val="44"/>
          <w:szCs w:val="44"/>
          <w:highlight w:val="none"/>
        </w:rPr>
      </w:pPr>
    </w:p>
    <w:p w14:paraId="29F04710">
      <w:pPr>
        <w:snapToGrid w:val="0"/>
        <w:spacing w:line="360" w:lineRule="auto"/>
        <w:jc w:val="center"/>
        <w:rPr>
          <w:rFonts w:ascii="宋体" w:hAnsi="宋体" w:cs="黑体"/>
          <w:b/>
          <w:color w:val="auto"/>
          <w:spacing w:val="170"/>
          <w:kern w:val="0"/>
          <w:sz w:val="84"/>
          <w:szCs w:val="84"/>
          <w:highlight w:val="none"/>
        </w:rPr>
      </w:pPr>
    </w:p>
    <w:p w14:paraId="29F2A3CA">
      <w:pPr>
        <w:snapToGrid w:val="0"/>
        <w:spacing w:line="360" w:lineRule="auto"/>
        <w:jc w:val="center"/>
        <w:rPr>
          <w:rFonts w:ascii="宋体" w:hAnsi="宋体" w:cs="黑体"/>
          <w:b/>
          <w:color w:val="auto"/>
          <w:spacing w:val="170"/>
          <w:kern w:val="0"/>
          <w:sz w:val="84"/>
          <w:szCs w:val="84"/>
          <w:highlight w:val="none"/>
        </w:rPr>
      </w:pPr>
      <w:r>
        <w:rPr>
          <w:rFonts w:hint="eastAsia" w:ascii="宋体" w:hAnsi="宋体" w:cs="黑体"/>
          <w:b/>
          <w:color w:val="auto"/>
          <w:spacing w:val="170"/>
          <w:kern w:val="0"/>
          <w:sz w:val="84"/>
          <w:szCs w:val="84"/>
          <w:highlight w:val="none"/>
        </w:rPr>
        <w:t>询价通知书</w:t>
      </w:r>
    </w:p>
    <w:p w14:paraId="0023CAB0">
      <w:pPr>
        <w:tabs>
          <w:tab w:val="left" w:pos="2450"/>
        </w:tabs>
        <w:spacing w:line="680" w:lineRule="exact"/>
        <w:rPr>
          <w:rFonts w:ascii="宋体" w:hAnsi="宋体" w:cs="宋体"/>
          <w:color w:val="auto"/>
          <w:sz w:val="44"/>
          <w:szCs w:val="44"/>
          <w:highlight w:val="none"/>
        </w:rPr>
      </w:pPr>
      <w:r>
        <w:rPr>
          <w:rFonts w:ascii="宋体" w:hAnsi="宋体" w:cs="宋体"/>
          <w:color w:val="auto"/>
          <w:sz w:val="44"/>
          <w:szCs w:val="44"/>
          <w:highlight w:val="none"/>
        </w:rPr>
        <w:tab/>
      </w:r>
    </w:p>
    <w:p w14:paraId="378A3022">
      <w:pPr>
        <w:adjustRightInd w:val="0"/>
        <w:snapToGrid w:val="0"/>
        <w:spacing w:line="800" w:lineRule="exact"/>
        <w:rPr>
          <w:rFonts w:ascii="宋体" w:hAnsi="宋体" w:cs="宋体"/>
          <w:color w:val="auto"/>
          <w:sz w:val="44"/>
          <w:szCs w:val="44"/>
          <w:highlight w:val="none"/>
        </w:rPr>
      </w:pPr>
    </w:p>
    <w:p w14:paraId="7355A0BE">
      <w:pPr>
        <w:adjustRightInd w:val="0"/>
        <w:snapToGrid w:val="0"/>
        <w:spacing w:line="800" w:lineRule="exact"/>
        <w:ind w:firstLine="1680" w:firstLineChars="600"/>
        <w:rPr>
          <w:rFonts w:hint="eastAsia" w:ascii="宋体" w:hAnsi="宋体" w:eastAsia="宋体"/>
          <w:bCs/>
          <w:color w:val="auto"/>
          <w:sz w:val="28"/>
          <w:szCs w:val="32"/>
          <w:highlight w:val="none"/>
          <w:lang w:eastAsia="zh-CN"/>
        </w:rPr>
      </w:pPr>
      <w:r>
        <w:rPr>
          <w:rFonts w:hint="eastAsia" w:ascii="宋体" w:hAnsi="宋体"/>
          <w:bCs/>
          <w:color w:val="auto"/>
          <w:sz w:val="28"/>
          <w:szCs w:val="32"/>
          <w:highlight w:val="none"/>
        </w:rPr>
        <w:t>采购项目编号：</w:t>
      </w:r>
      <w:r>
        <w:rPr>
          <w:rFonts w:hint="eastAsia" w:ascii="宋体" w:hAnsi="宋体"/>
          <w:bCs/>
          <w:color w:val="auto"/>
          <w:sz w:val="28"/>
          <w:szCs w:val="32"/>
          <w:highlight w:val="none"/>
          <w:lang w:eastAsia="zh-CN"/>
        </w:rPr>
        <w:t>CT-SX-2026003</w:t>
      </w:r>
    </w:p>
    <w:p w14:paraId="01530D12">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采购项目名称：</w:t>
      </w:r>
      <w:r>
        <w:rPr>
          <w:rFonts w:hint="eastAsia" w:ascii="宋体" w:hAnsi="宋体"/>
          <w:bCs/>
          <w:color w:val="auto"/>
          <w:sz w:val="28"/>
          <w:szCs w:val="32"/>
          <w:highlight w:val="none"/>
          <w:lang w:eastAsia="zh-CN"/>
        </w:rPr>
        <w:t>市看守所2026-2027年绿化维护项目</w:t>
      </w:r>
      <w:r>
        <w:rPr>
          <w:rFonts w:hint="eastAsia" w:ascii="宋体" w:hAnsi="宋体"/>
          <w:bCs/>
          <w:color w:val="auto"/>
          <w:sz w:val="28"/>
          <w:szCs w:val="32"/>
          <w:highlight w:val="none"/>
        </w:rPr>
        <w:t xml:space="preserve"> </w:t>
      </w:r>
    </w:p>
    <w:p w14:paraId="4518981C">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采 购 人名称：常州市公安局</w:t>
      </w:r>
    </w:p>
    <w:p w14:paraId="0CBC6A8F">
      <w:pPr>
        <w:adjustRightInd w:val="0"/>
        <w:snapToGrid w:val="0"/>
        <w:spacing w:line="800" w:lineRule="exact"/>
        <w:ind w:firstLine="2640" w:firstLineChars="600"/>
        <w:rPr>
          <w:rFonts w:ascii="宋体" w:hAnsi="宋体" w:cs="宋体"/>
          <w:color w:val="auto"/>
          <w:sz w:val="44"/>
          <w:szCs w:val="44"/>
          <w:highlight w:val="none"/>
        </w:rPr>
      </w:pPr>
    </w:p>
    <w:p w14:paraId="2225D7A9">
      <w:pPr>
        <w:spacing w:line="680" w:lineRule="exact"/>
        <w:jc w:val="center"/>
        <w:rPr>
          <w:rFonts w:ascii="宋体" w:hAnsi="宋体" w:cs="宋体"/>
          <w:color w:val="auto"/>
          <w:sz w:val="44"/>
          <w:szCs w:val="44"/>
          <w:highlight w:val="none"/>
        </w:rPr>
      </w:pPr>
    </w:p>
    <w:p w14:paraId="25CF228E">
      <w:pPr>
        <w:spacing w:line="480" w:lineRule="exact"/>
        <w:ind w:firstLine="750" w:firstLineChars="250"/>
        <w:jc w:val="center"/>
        <w:rPr>
          <w:rFonts w:ascii="宋体" w:hAnsi="宋体" w:cs="宋体"/>
          <w:color w:val="auto"/>
          <w:sz w:val="30"/>
          <w:szCs w:val="30"/>
          <w:highlight w:val="none"/>
        </w:rPr>
      </w:pPr>
    </w:p>
    <w:p w14:paraId="2CE9A02F">
      <w:pPr>
        <w:spacing w:line="480" w:lineRule="exact"/>
        <w:jc w:val="center"/>
        <w:rPr>
          <w:rFonts w:ascii="宋体" w:hAnsi="宋体" w:cs="宋体"/>
          <w:color w:val="auto"/>
          <w:sz w:val="36"/>
          <w:szCs w:val="36"/>
          <w:highlight w:val="none"/>
        </w:rPr>
      </w:pPr>
    </w:p>
    <w:p w14:paraId="29BB8C8D">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常州市城投建设工程招标有限公司</w:t>
      </w:r>
    </w:p>
    <w:p w14:paraId="7C58527E">
      <w:pPr>
        <w:jc w:val="center"/>
        <w:rPr>
          <w:rFonts w:ascii="宋体" w:hAnsi="宋体" w:cs="宋体"/>
          <w:color w:val="auto"/>
          <w:sz w:val="36"/>
          <w:szCs w:val="36"/>
          <w:highlight w:val="none"/>
        </w:rPr>
      </w:pPr>
    </w:p>
    <w:p w14:paraId="52A8A8BD">
      <w:pPr>
        <w:jc w:val="center"/>
        <w:rPr>
          <w:rFonts w:ascii="宋体" w:hAnsi="宋体" w:cs="宋体"/>
          <w:b/>
          <w:color w:val="auto"/>
          <w:sz w:val="30"/>
          <w:highlight w:val="none"/>
        </w:rPr>
      </w:pPr>
      <w:r>
        <w:rPr>
          <w:rFonts w:hint="eastAsia" w:ascii="宋体" w:hAnsi="宋体" w:cs="宋体"/>
          <w:color w:val="auto"/>
          <w:w w:val="90"/>
          <w:sz w:val="44"/>
          <w:szCs w:val="44"/>
          <w:highlight w:val="none"/>
        </w:rPr>
        <w:t>二〇二六年</w:t>
      </w:r>
      <w:r>
        <w:rPr>
          <w:rFonts w:hint="eastAsia" w:ascii="宋体" w:hAnsi="宋体" w:cs="宋体"/>
          <w:color w:val="auto"/>
          <w:w w:val="90"/>
          <w:sz w:val="44"/>
          <w:szCs w:val="44"/>
          <w:highlight w:val="none"/>
          <w:lang w:val="en-US" w:eastAsia="zh-CN"/>
        </w:rPr>
        <w:t>二</w:t>
      </w:r>
      <w:r>
        <w:rPr>
          <w:rFonts w:hint="eastAsia" w:ascii="宋体" w:hAnsi="宋体" w:cs="宋体"/>
          <w:color w:val="auto"/>
          <w:w w:val="90"/>
          <w:sz w:val="44"/>
          <w:szCs w:val="44"/>
          <w:highlight w:val="none"/>
        </w:rPr>
        <w:t>月</w:t>
      </w:r>
    </w:p>
    <w:p w14:paraId="6028792E">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35066229">
      <w:pPr>
        <w:jc w:val="center"/>
        <w:outlineLvl w:val="1"/>
        <w:rPr>
          <w:rFonts w:hint="eastAsia"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常州市公安局市看守所2026-2027年绿化</w:t>
      </w:r>
    </w:p>
    <w:p w14:paraId="1E489D3B">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维护项目询价公告</w:t>
      </w:r>
    </w:p>
    <w:p w14:paraId="2B1BD31A">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项目概况</w:t>
      </w:r>
    </w:p>
    <w:p w14:paraId="4BC92302">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常州市公安局市看守所2026-2027年绿化维护项目</w:t>
      </w:r>
      <w:r>
        <w:rPr>
          <w:rFonts w:hint="eastAsia" w:ascii="仿宋" w:hAnsi="仿宋" w:eastAsia="仿宋"/>
          <w:color w:val="auto"/>
          <w:sz w:val="32"/>
          <w:szCs w:val="32"/>
          <w:highlight w:val="none"/>
        </w:rPr>
        <w:t>的潜在供应商应在常州市城投建设工程招标有限公司</w:t>
      </w:r>
      <w:r>
        <w:rPr>
          <w:rFonts w:hint="eastAsia" w:ascii="仿宋" w:hAnsi="仿宋" w:eastAsia="仿宋" w:cs="宋体"/>
          <w:color w:val="auto"/>
          <w:sz w:val="32"/>
          <w:szCs w:val="32"/>
          <w:highlight w:val="none"/>
        </w:rPr>
        <w:t>（http://www.czctzb.com/）</w:t>
      </w:r>
      <w:r>
        <w:rPr>
          <w:rFonts w:hint="eastAsia" w:ascii="仿宋" w:hAnsi="仿宋" w:eastAsia="仿宋"/>
          <w:color w:val="auto"/>
          <w:sz w:val="32"/>
          <w:szCs w:val="32"/>
          <w:highlight w:val="none"/>
        </w:rPr>
        <w:t>获取采购文件，并于</w:t>
      </w:r>
      <w:r>
        <w:rPr>
          <w:rFonts w:hint="eastAsia" w:ascii="仿宋" w:hAnsi="仿宋" w:eastAsia="仿宋"/>
          <w:color w:val="auto"/>
          <w:sz w:val="32"/>
          <w:szCs w:val="32"/>
          <w:highlight w:val="none"/>
          <w:lang w:val="en-US"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分（北京时间）前提交响应</w:t>
      </w:r>
      <w:r>
        <w:rPr>
          <w:rFonts w:ascii="仿宋" w:hAnsi="仿宋" w:eastAsia="仿宋"/>
          <w:color w:val="auto"/>
          <w:sz w:val="32"/>
          <w:szCs w:val="32"/>
          <w:highlight w:val="none"/>
        </w:rPr>
        <w:t>文件</w:t>
      </w:r>
      <w:r>
        <w:rPr>
          <w:rFonts w:hint="eastAsia" w:ascii="仿宋" w:hAnsi="仿宋" w:eastAsia="仿宋"/>
          <w:color w:val="auto"/>
          <w:sz w:val="32"/>
          <w:szCs w:val="32"/>
          <w:highlight w:val="none"/>
        </w:rPr>
        <w:t>。</w:t>
      </w:r>
    </w:p>
    <w:p w14:paraId="4751E435">
      <w:pPr>
        <w:snapToGrid w:val="0"/>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一、项目基本情况</w:t>
      </w:r>
    </w:p>
    <w:p w14:paraId="304B00C5">
      <w:pPr>
        <w:snapToGrid w:val="0"/>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1.项目编号：</w:t>
      </w:r>
      <w:r>
        <w:rPr>
          <w:rFonts w:hint="eastAsia" w:ascii="仿宋" w:hAnsi="仿宋" w:eastAsia="仿宋"/>
          <w:bCs/>
          <w:color w:val="auto"/>
          <w:sz w:val="32"/>
          <w:szCs w:val="32"/>
          <w:highlight w:val="none"/>
          <w:lang w:eastAsia="zh-CN"/>
        </w:rPr>
        <w:t>CT-SX-2026003</w:t>
      </w:r>
    </w:p>
    <w:p w14:paraId="519D8495">
      <w:pPr>
        <w:snapToGrid w:val="0"/>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项目名称：</w:t>
      </w:r>
      <w:r>
        <w:rPr>
          <w:rFonts w:hint="eastAsia" w:ascii="仿宋" w:hAnsi="仿宋" w:eastAsia="仿宋"/>
          <w:color w:val="auto"/>
          <w:sz w:val="32"/>
          <w:szCs w:val="32"/>
          <w:highlight w:val="none"/>
          <w:lang w:eastAsia="zh-CN"/>
        </w:rPr>
        <w:t>市看守所2026-2027年绿化维护项目</w:t>
      </w:r>
    </w:p>
    <w:p w14:paraId="3D569B3F">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3.采购方式：询价</w:t>
      </w:r>
    </w:p>
    <w:p w14:paraId="17B5972D">
      <w:pPr>
        <w:snapToGrid w:val="0"/>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4.预算金额：</w:t>
      </w:r>
      <w:r>
        <w:rPr>
          <w:rFonts w:hint="eastAsia" w:ascii="仿宋" w:hAnsi="仿宋" w:eastAsia="仿宋"/>
          <w:color w:val="auto"/>
          <w:sz w:val="32"/>
          <w:szCs w:val="32"/>
          <w:highlight w:val="none"/>
          <w:lang w:eastAsia="zh-CN"/>
        </w:rPr>
        <w:t>9万</w:t>
      </w:r>
    </w:p>
    <w:p w14:paraId="18A3387E">
      <w:pPr>
        <w:snapToGrid w:val="0"/>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5.最高限价：</w:t>
      </w:r>
      <w:r>
        <w:rPr>
          <w:rFonts w:hint="eastAsia" w:ascii="仿宋" w:hAnsi="仿宋" w:eastAsia="仿宋"/>
          <w:color w:val="auto"/>
          <w:sz w:val="32"/>
          <w:szCs w:val="32"/>
          <w:highlight w:val="none"/>
          <w:lang w:eastAsia="zh-CN"/>
        </w:rPr>
        <w:t>9万</w:t>
      </w:r>
    </w:p>
    <w:p w14:paraId="13B8EDF3">
      <w:pPr>
        <w:snapToGrid w:val="0"/>
        <w:spacing w:line="600" w:lineRule="exact"/>
        <w:ind w:firstLine="640" w:firstLineChars="200"/>
        <w:rPr>
          <w:rFonts w:ascii="仿宋" w:hAnsi="仿宋" w:eastAsia="仿宋"/>
          <w:color w:val="auto"/>
          <w:spacing w:val="2"/>
          <w:sz w:val="32"/>
          <w:szCs w:val="32"/>
          <w:highlight w:val="none"/>
        </w:rPr>
      </w:pPr>
      <w:r>
        <w:rPr>
          <w:rFonts w:hint="eastAsia" w:ascii="仿宋" w:hAnsi="仿宋" w:eastAsia="仿宋"/>
          <w:color w:val="auto"/>
          <w:sz w:val="32"/>
          <w:szCs w:val="32"/>
          <w:highlight w:val="none"/>
        </w:rPr>
        <w:t>6.采购需求：监所管理支队绿化养护服务项目即将到期，为加强绿化养护工作，现对监所管理支队绿化养护服务项目重新进行采购。</w:t>
      </w:r>
    </w:p>
    <w:p w14:paraId="53596BE4">
      <w:pPr>
        <w:snapToGrid w:val="0"/>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7.</w:t>
      </w:r>
      <w:r>
        <w:rPr>
          <w:rFonts w:hint="eastAsia" w:ascii="仿宋" w:hAnsi="仿宋" w:eastAsia="仿宋"/>
          <w:color w:val="auto"/>
          <w:sz w:val="32"/>
          <w:szCs w:val="32"/>
          <w:highlight w:val="none"/>
          <w:lang w:eastAsia="zh-CN"/>
        </w:rPr>
        <w:t>服务期限</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一年</w:t>
      </w:r>
    </w:p>
    <w:p w14:paraId="080A9868">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8.本项目不接受联合体。</w:t>
      </w:r>
    </w:p>
    <w:p w14:paraId="375F2F0F">
      <w:pPr>
        <w:adjustRightInd w:val="0"/>
        <w:spacing w:line="600" w:lineRule="exact"/>
        <w:ind w:firstLine="646" w:firstLineChars="201"/>
        <w:rPr>
          <w:rFonts w:ascii="仿宋" w:hAnsi="仿宋" w:eastAsia="仿宋" w:cs="Arial"/>
          <w:b/>
          <w:color w:val="auto"/>
          <w:kern w:val="0"/>
          <w:sz w:val="32"/>
          <w:szCs w:val="32"/>
          <w:highlight w:val="none"/>
        </w:rPr>
      </w:pPr>
      <w:r>
        <w:rPr>
          <w:rFonts w:hint="eastAsia" w:ascii="仿宋" w:hAnsi="仿宋" w:eastAsia="仿宋" w:cs="Arial"/>
          <w:b/>
          <w:color w:val="auto"/>
          <w:kern w:val="0"/>
          <w:sz w:val="32"/>
          <w:szCs w:val="32"/>
          <w:highlight w:val="none"/>
        </w:rPr>
        <w:t xml:space="preserve">二、申请人的资格要求 </w:t>
      </w:r>
    </w:p>
    <w:p w14:paraId="243990E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1.在中华人民共和国境内注册，具有独立承担民事责任的能力； </w:t>
      </w:r>
    </w:p>
    <w:p w14:paraId="41E453C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618F9F58">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6CC69130">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4.有依法缴纳税收和社会保障资金的良好记录； </w:t>
      </w:r>
    </w:p>
    <w:p w14:paraId="07219D5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097062B0">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58FF0BA8">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1EB36D1A">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8.未被“信用中国”网站（www.creditchina.gov.cn）列入失信被执行人、重大税收违法案件当事人名单、严重失信行为记录名单。</w:t>
      </w:r>
    </w:p>
    <w:p w14:paraId="35B31903">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527F08B8">
      <w:pPr>
        <w:spacing w:line="600" w:lineRule="exact"/>
        <w:ind w:firstLine="640" w:firstLineChars="200"/>
        <w:rPr>
          <w:rFonts w:ascii="仿宋" w:hAnsi="仿宋" w:eastAsia="仿宋" w:cs="宋体"/>
          <w:bCs/>
          <w:color w:val="auto"/>
          <w:kern w:val="0"/>
          <w:sz w:val="32"/>
          <w:szCs w:val="32"/>
          <w:highlight w:val="none"/>
        </w:rPr>
      </w:pPr>
      <w:r>
        <w:rPr>
          <w:rFonts w:hint="eastAsia" w:ascii="仿宋" w:hAnsi="仿宋" w:eastAsia="仿宋" w:cs="宋体"/>
          <w:color w:val="auto"/>
          <w:sz w:val="32"/>
          <w:szCs w:val="32"/>
          <w:highlight w:val="none"/>
        </w:rPr>
        <w:t>1.时间：</w:t>
      </w:r>
      <w:r>
        <w:rPr>
          <w:rFonts w:ascii="仿宋" w:hAnsi="仿宋" w:eastAsia="仿宋" w:cs="宋体"/>
          <w:bCs/>
          <w:color w:val="auto"/>
          <w:kern w:val="0"/>
          <w:sz w:val="32"/>
          <w:szCs w:val="32"/>
          <w:highlight w:val="none"/>
        </w:rPr>
        <w:t>20</w:t>
      </w:r>
      <w:r>
        <w:rPr>
          <w:rFonts w:hint="eastAsia" w:ascii="仿宋" w:hAnsi="仿宋" w:eastAsia="仿宋" w:cs="宋体"/>
          <w:bCs/>
          <w:color w:val="auto"/>
          <w:kern w:val="0"/>
          <w:sz w:val="32"/>
          <w:szCs w:val="32"/>
          <w:highlight w:val="none"/>
        </w:rPr>
        <w:t>26年</w:t>
      </w:r>
      <w:r>
        <w:rPr>
          <w:rFonts w:hint="eastAsia" w:ascii="仿宋" w:hAnsi="仿宋" w:eastAsia="仿宋" w:cs="宋体"/>
          <w:bCs/>
          <w:color w:val="auto"/>
          <w:kern w:val="0"/>
          <w:sz w:val="32"/>
          <w:szCs w:val="32"/>
          <w:highlight w:val="none"/>
          <w:lang w:val="en-US" w:eastAsia="zh-CN"/>
        </w:rPr>
        <w:t>02</w:t>
      </w:r>
      <w:r>
        <w:rPr>
          <w:rFonts w:hint="eastAsia" w:ascii="仿宋" w:hAnsi="仿宋" w:eastAsia="仿宋" w:cs="宋体"/>
          <w:bCs/>
          <w:color w:val="auto"/>
          <w:kern w:val="0"/>
          <w:sz w:val="32"/>
          <w:szCs w:val="32"/>
          <w:highlight w:val="none"/>
        </w:rPr>
        <w:t>月</w:t>
      </w:r>
      <w:r>
        <w:rPr>
          <w:rFonts w:hint="eastAsia" w:ascii="仿宋" w:hAnsi="仿宋" w:eastAsia="仿宋" w:cs="宋体"/>
          <w:bCs/>
          <w:color w:val="auto"/>
          <w:kern w:val="0"/>
          <w:sz w:val="32"/>
          <w:szCs w:val="32"/>
          <w:highlight w:val="none"/>
          <w:lang w:val="en-US" w:eastAsia="zh-CN"/>
        </w:rPr>
        <w:t>11</w:t>
      </w:r>
      <w:r>
        <w:rPr>
          <w:rFonts w:hint="eastAsia" w:ascii="仿宋" w:hAnsi="仿宋" w:eastAsia="仿宋" w:cs="宋体"/>
          <w:bCs/>
          <w:color w:val="auto"/>
          <w:kern w:val="0"/>
          <w:sz w:val="32"/>
          <w:szCs w:val="32"/>
          <w:highlight w:val="none"/>
        </w:rPr>
        <w:t>日起</w:t>
      </w:r>
    </w:p>
    <w:p w14:paraId="1FFF3F06">
      <w:pPr>
        <w:spacing w:line="600" w:lineRule="exact"/>
        <w:ind w:firstLine="640" w:firstLineChars="200"/>
        <w:rPr>
          <w:rFonts w:ascii="仿宋" w:hAnsi="仿宋" w:eastAsia="仿宋" w:cs="宋体"/>
          <w:color w:val="auto"/>
          <w:sz w:val="32"/>
          <w:szCs w:val="32"/>
          <w:highlight w:val="none"/>
        </w:rPr>
      </w:pPr>
      <w:r>
        <w:rPr>
          <w:rFonts w:ascii="仿宋" w:hAnsi="仿宋" w:eastAsia="仿宋" w:cs="宋体"/>
          <w:color w:val="auto"/>
          <w:sz w:val="32"/>
          <w:szCs w:val="32"/>
          <w:highlight w:val="none"/>
        </w:rPr>
        <w:t>2.</w:t>
      </w:r>
      <w:r>
        <w:rPr>
          <w:rFonts w:hint="eastAsia" w:ascii="仿宋" w:hAnsi="仿宋" w:eastAsia="仿宋" w:cs="宋体"/>
          <w:color w:val="auto"/>
          <w:sz w:val="32"/>
          <w:szCs w:val="32"/>
          <w:highlight w:val="none"/>
        </w:rPr>
        <w:t>地点：常州市城投建设工程招标有限公司网站</w:t>
      </w:r>
    </w:p>
    <w:p w14:paraId="60901553">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color w:val="auto"/>
          <w:sz w:val="32"/>
          <w:szCs w:val="32"/>
          <w:highlight w:val="none"/>
        </w:rPr>
        <w:t>3.方式：直接下载，链接如下：</w:t>
      </w:r>
      <w:r>
        <w:rPr>
          <w:rFonts w:hint="eastAsia" w:ascii="仿宋" w:hAnsi="仿宋" w:eastAsia="仿宋" w:cs="宋体"/>
          <w:bCs/>
          <w:color w:val="auto"/>
          <w:sz w:val="32"/>
          <w:szCs w:val="32"/>
          <w:highlight w:val="none"/>
        </w:rPr>
        <w:t xml:space="preserve"> </w:t>
      </w:r>
    </w:p>
    <w:p w14:paraId="7C2E0E9D">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四、响应文件提交</w:t>
      </w:r>
    </w:p>
    <w:p w14:paraId="16C5B69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截止时间：2026年</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分（北京时间）</w:t>
      </w:r>
    </w:p>
    <w:p w14:paraId="1AC39F5D">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3BABA7CF">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五、开启</w:t>
      </w:r>
    </w:p>
    <w:p w14:paraId="12BE7B1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时间：2026年</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分（北京时间）</w:t>
      </w:r>
    </w:p>
    <w:p w14:paraId="591D9E7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33AB7608">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六、公告期限</w:t>
      </w:r>
    </w:p>
    <w:p w14:paraId="33863BA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自本公告发布之日起3个工作日。</w:t>
      </w:r>
    </w:p>
    <w:p w14:paraId="4234008B">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七、其他补充事宜</w:t>
      </w:r>
    </w:p>
    <w:p w14:paraId="7AF418B2">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1.本项目不组织现场踏勘，供应商自行踏勘现场。</w:t>
      </w:r>
    </w:p>
    <w:p w14:paraId="6C294297">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参加询价的供应商若认为询价文件的资格要求和技术要求有倾向性或不公正性，可在响应文件提交截止期2日前以书面形式向常州市城投建设工程招标有限公司提出。对于未提出澄清要求又参与了该项目的供应商将被视为完全认同该询价文件，响应文件提交截止期后不再受理针对询价文件的相关质疑和投诉。传真:0519-81580105，</w:t>
      </w:r>
      <w:r>
        <w:rPr>
          <w:rFonts w:ascii="仿宋" w:hAnsi="仿宋" w:eastAsia="仿宋"/>
          <w:color w:val="auto"/>
          <w:sz w:val="32"/>
          <w:szCs w:val="32"/>
          <w:highlight w:val="none"/>
        </w:rPr>
        <w:t>邮箱：</w:t>
      </w:r>
      <w:r>
        <w:rPr>
          <w:color w:val="auto"/>
          <w:highlight w:val="none"/>
        </w:rPr>
        <w:fldChar w:fldCharType="begin"/>
      </w:r>
      <w:r>
        <w:rPr>
          <w:color w:val="auto"/>
          <w:highlight w:val="none"/>
        </w:rPr>
        <w:instrText xml:space="preserve"> HYPERLINK "mailto:czctzb@163.com" </w:instrText>
      </w:r>
      <w:r>
        <w:rPr>
          <w:color w:val="auto"/>
          <w:highlight w:val="none"/>
        </w:rPr>
        <w:fldChar w:fldCharType="separate"/>
      </w:r>
      <w:r>
        <w:rPr>
          <w:rStyle w:val="29"/>
          <w:rFonts w:hint="eastAsia" w:ascii="仿宋" w:hAnsi="仿宋" w:eastAsia="仿宋"/>
          <w:color w:val="auto"/>
          <w:sz w:val="32"/>
          <w:szCs w:val="32"/>
          <w:highlight w:val="none"/>
        </w:rPr>
        <w:t>czctzb@163.com</w:t>
      </w:r>
      <w:r>
        <w:rPr>
          <w:rStyle w:val="29"/>
          <w:rFonts w:hint="eastAsia" w:ascii="仿宋" w:hAnsi="仿宋" w:eastAsia="仿宋"/>
          <w:color w:val="auto"/>
          <w:sz w:val="32"/>
          <w:szCs w:val="32"/>
          <w:highlight w:val="none"/>
        </w:rPr>
        <w:fldChar w:fldCharType="end"/>
      </w:r>
      <w:r>
        <w:rPr>
          <w:rFonts w:hint="eastAsia" w:ascii="仿宋" w:hAnsi="仿宋" w:eastAsia="仿宋"/>
          <w:color w:val="auto"/>
          <w:sz w:val="32"/>
          <w:szCs w:val="32"/>
          <w:highlight w:val="none"/>
        </w:rPr>
        <w:t>。</w:t>
      </w:r>
    </w:p>
    <w:p w14:paraId="7A94DE9D">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rPr>
        <w:t>保证金</w:t>
      </w:r>
    </w:p>
    <w:p w14:paraId="6C0CFF0B">
      <w:pPr>
        <w:spacing w:line="600" w:lineRule="exact"/>
        <w:ind w:firstLine="640" w:firstLineChars="200"/>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（1）</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rPr>
        <w:t>保证金数额：</w:t>
      </w:r>
      <w:r>
        <w:rPr>
          <w:rFonts w:hint="eastAsia" w:ascii="仿宋" w:hAnsi="仿宋" w:eastAsia="仿宋" w:cs="宋体"/>
          <w:b/>
          <w:bCs/>
          <w:color w:val="auto"/>
          <w:sz w:val="32"/>
          <w:szCs w:val="32"/>
          <w:highlight w:val="none"/>
        </w:rPr>
        <w:t>人民币</w:t>
      </w:r>
      <w:r>
        <w:rPr>
          <w:rFonts w:hint="eastAsia" w:ascii="仿宋" w:hAnsi="仿宋" w:eastAsia="仿宋" w:cs="宋体"/>
          <w:b/>
          <w:bCs/>
          <w:color w:val="auto"/>
          <w:sz w:val="32"/>
          <w:szCs w:val="32"/>
          <w:highlight w:val="none"/>
          <w:lang w:val="en-US" w:eastAsia="zh-CN"/>
        </w:rPr>
        <w:t>壹仟捌佰</w:t>
      </w:r>
      <w:bookmarkStart w:id="0" w:name="_GoBack"/>
      <w:bookmarkEnd w:id="0"/>
      <w:r>
        <w:rPr>
          <w:rFonts w:hint="eastAsia" w:ascii="仿宋" w:hAnsi="仿宋" w:eastAsia="仿宋" w:cs="宋体"/>
          <w:b/>
          <w:bCs/>
          <w:color w:val="auto"/>
          <w:sz w:val="32"/>
          <w:szCs w:val="32"/>
          <w:highlight w:val="none"/>
          <w:lang w:val="en-US" w:eastAsia="zh-CN"/>
        </w:rPr>
        <w:t>元整</w:t>
      </w:r>
    </w:p>
    <w:p w14:paraId="67C9635D">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rPr>
        <w:t>保证金专用账户</w:t>
      </w:r>
    </w:p>
    <w:p w14:paraId="739BA9AF">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收款单位：常州市城投建设工程招标有限公司</w:t>
      </w:r>
    </w:p>
    <w:p w14:paraId="15249BFA">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开户银行：中国民生银行新北支行</w:t>
      </w:r>
    </w:p>
    <w:p w14:paraId="5BA9C380">
      <w:pPr>
        <w:spacing w:line="600" w:lineRule="exact"/>
        <w:ind w:firstLine="640" w:firstLineChars="200"/>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银行账号：</w:t>
      </w:r>
      <w:r>
        <w:rPr>
          <w:rFonts w:hint="eastAsia" w:ascii="仿宋" w:hAnsi="仿宋" w:eastAsia="仿宋" w:cs="宋体"/>
          <w:b/>
          <w:bCs/>
          <w:color w:val="auto"/>
          <w:sz w:val="32"/>
          <w:szCs w:val="32"/>
          <w:highlight w:val="none"/>
          <w:lang w:val="en-US" w:eastAsia="zh-CN"/>
        </w:rPr>
        <w:t>9902001841225483</w:t>
      </w:r>
    </w:p>
    <w:p w14:paraId="4095E7F0">
      <w:pPr>
        <w:spacing w:line="600" w:lineRule="exact"/>
        <w:ind w:firstLine="640" w:firstLineChars="200"/>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（3）磋商保证金到账截止时间：</w:t>
      </w:r>
      <w:r>
        <w:rPr>
          <w:rFonts w:hint="eastAsia" w:ascii="仿宋" w:hAnsi="仿宋" w:eastAsia="仿宋" w:cs="宋体"/>
          <w:b/>
          <w:color w:val="auto"/>
          <w:sz w:val="32"/>
          <w:szCs w:val="32"/>
          <w:highlight w:val="none"/>
        </w:rPr>
        <w:t>同</w:t>
      </w:r>
      <w:r>
        <w:rPr>
          <w:rFonts w:hint="eastAsia" w:ascii="仿宋" w:hAnsi="仿宋" w:eastAsia="仿宋" w:cs="宋体"/>
          <w:color w:val="auto"/>
          <w:sz w:val="32"/>
          <w:szCs w:val="32"/>
          <w:highlight w:val="none"/>
          <w:lang w:val="en-US" w:eastAsia="zh-CN"/>
        </w:rPr>
        <w:t>询价</w:t>
      </w:r>
      <w:r>
        <w:rPr>
          <w:rFonts w:hint="eastAsia" w:ascii="仿宋" w:hAnsi="仿宋" w:eastAsia="仿宋" w:cs="宋体"/>
          <w:b/>
          <w:color w:val="auto"/>
          <w:sz w:val="32"/>
          <w:szCs w:val="32"/>
          <w:highlight w:val="none"/>
        </w:rPr>
        <w:t>响应文件提交截止时间</w:t>
      </w:r>
    </w:p>
    <w:p w14:paraId="1010F326">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（4）</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rPr>
        <w:t>保证金交纳方式：银行电汇或转账（备注项目编号）</w:t>
      </w:r>
    </w:p>
    <w:p w14:paraId="4DAA16B3">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（5）供应商必须自行将</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rPr>
        <w:t>保证金从公司账户按规定方式和时间缴至常州市城投建设工程招标有限公司</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rPr>
        <w:t>保证金专用账户并到账，拒绝以其它方式缴纳，禁止第三方代缴保证金，否则将被视为无效响应，其磋商响应文件将被拒绝</w:t>
      </w:r>
    </w:p>
    <w:p w14:paraId="34203523">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八、凡对本次采购提出询问，请按以下方式联系。</w:t>
      </w:r>
    </w:p>
    <w:p w14:paraId="32B7757E">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1.采购人信息</w:t>
      </w:r>
    </w:p>
    <w:p w14:paraId="24C5D62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w:t>
      </w:r>
      <w:r>
        <w:rPr>
          <w:rFonts w:hint="eastAsia" w:ascii="仿宋" w:hAnsi="仿宋" w:eastAsia="仿宋"/>
          <w:color w:val="auto"/>
          <w:sz w:val="32"/>
          <w:szCs w:val="32"/>
          <w:highlight w:val="none"/>
          <w:lang w:eastAsia="zh-CN"/>
        </w:rPr>
        <w:t>常州市公安局</w:t>
      </w:r>
      <w:r>
        <w:rPr>
          <w:rFonts w:hint="eastAsia" w:ascii="仿宋" w:hAnsi="仿宋" w:eastAsia="仿宋"/>
          <w:color w:val="auto"/>
          <w:sz w:val="32"/>
          <w:szCs w:val="32"/>
          <w:highlight w:val="none"/>
        </w:rPr>
        <w:t>　　　　　　　　　　　　</w:t>
      </w:r>
    </w:p>
    <w:p w14:paraId="2F9BDCE2">
      <w:pPr>
        <w:snapToGrid w:val="0"/>
        <w:spacing w:line="600" w:lineRule="exact"/>
        <w:ind w:firstLine="640" w:firstLineChars="200"/>
        <w:rPr>
          <w:rFonts w:ascii="仿宋" w:hAnsi="仿宋" w:eastAsia="仿宋"/>
          <w:color w:val="auto"/>
          <w:spacing w:val="2"/>
          <w:sz w:val="32"/>
          <w:szCs w:val="32"/>
          <w:highlight w:val="none"/>
        </w:rPr>
      </w:pPr>
      <w:r>
        <w:rPr>
          <w:rFonts w:hint="eastAsia" w:ascii="仿宋" w:hAnsi="仿宋" w:eastAsia="仿宋"/>
          <w:color w:val="auto"/>
          <w:sz w:val="32"/>
          <w:szCs w:val="32"/>
          <w:highlight w:val="none"/>
        </w:rPr>
        <w:t>地    址：</w:t>
      </w:r>
      <w:r>
        <w:rPr>
          <w:rFonts w:ascii="仿宋" w:hAnsi="仿宋" w:eastAsia="仿宋" w:cs="仿宋"/>
          <w:color w:val="auto"/>
          <w:sz w:val="28"/>
          <w:szCs w:val="28"/>
          <w:highlight w:val="none"/>
        </w:rPr>
        <w:t>常州市新北区龙锦路1588号</w:t>
      </w:r>
    </w:p>
    <w:p w14:paraId="3F6C109E">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联系方式：邵俊  0519-81993183　　　　　　 　　　 </w:t>
      </w:r>
    </w:p>
    <w:p w14:paraId="04593C4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2.采购代理机构信息</w:t>
      </w:r>
    </w:p>
    <w:p w14:paraId="7192EB0C">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称：常州市城投建设工程招标有限公司　　　　　　　　　　　　</w:t>
      </w:r>
    </w:p>
    <w:p w14:paraId="16CEEE7D">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　　址：</w:t>
      </w:r>
      <w:r>
        <w:rPr>
          <w:rFonts w:hint="eastAsia" w:ascii="仿宋" w:hAnsi="仿宋" w:eastAsia="仿宋" w:cs="宋体"/>
          <w:color w:val="auto"/>
          <w:kern w:val="0"/>
          <w:sz w:val="32"/>
          <w:szCs w:val="32"/>
          <w:highlight w:val="none"/>
        </w:rPr>
        <w:t>常州市新北区通江中路396号中创大厦4楼</w:t>
      </w:r>
      <w:r>
        <w:rPr>
          <w:rFonts w:hint="eastAsia" w:ascii="仿宋" w:hAnsi="仿宋" w:eastAsia="仿宋"/>
          <w:color w:val="auto"/>
          <w:sz w:val="32"/>
          <w:szCs w:val="32"/>
          <w:highlight w:val="none"/>
        </w:rPr>
        <w:t>　　　　　　　　　　　　</w:t>
      </w:r>
    </w:p>
    <w:p w14:paraId="2FCE088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联系方式：</w:t>
      </w:r>
      <w:r>
        <w:rPr>
          <w:rFonts w:hint="eastAsia" w:ascii="仿宋" w:hAnsi="仿宋" w:eastAsia="仿宋" w:cs="宋体"/>
          <w:color w:val="auto"/>
          <w:sz w:val="32"/>
          <w:szCs w:val="32"/>
          <w:highlight w:val="none"/>
        </w:rPr>
        <w:t>0519-815801</w:t>
      </w:r>
      <w:r>
        <w:rPr>
          <w:rFonts w:ascii="仿宋" w:hAnsi="仿宋" w:eastAsia="仿宋" w:cs="宋体"/>
          <w:color w:val="auto"/>
          <w:sz w:val="32"/>
          <w:szCs w:val="32"/>
          <w:highlight w:val="none"/>
        </w:rPr>
        <w:t>01</w:t>
      </w:r>
      <w:r>
        <w:rPr>
          <w:rFonts w:hint="eastAsia" w:ascii="仿宋" w:hAnsi="仿宋" w:eastAsia="仿宋"/>
          <w:color w:val="auto"/>
          <w:sz w:val="32"/>
          <w:szCs w:val="32"/>
          <w:highlight w:val="none"/>
        </w:rPr>
        <w:t>　　　　　　　　　　　　</w:t>
      </w:r>
    </w:p>
    <w:p w14:paraId="78F399B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3.项目联系方式</w:t>
      </w:r>
    </w:p>
    <w:p w14:paraId="06E67B1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项目联系人：丁洁</w:t>
      </w:r>
    </w:p>
    <w:p w14:paraId="1947019E">
      <w:pPr>
        <w:overflowPunct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电　　 话：</w:t>
      </w:r>
      <w:r>
        <w:rPr>
          <w:rFonts w:hint="eastAsia" w:ascii="仿宋" w:hAnsi="仿宋" w:eastAsia="仿宋" w:cs="宋体"/>
          <w:color w:val="auto"/>
          <w:sz w:val="32"/>
          <w:szCs w:val="32"/>
          <w:highlight w:val="none"/>
        </w:rPr>
        <w:t>0519-81580152  81580191  81580192（转分机号6031）</w:t>
      </w:r>
      <w:r>
        <w:rPr>
          <w:rFonts w:hint="eastAsia" w:ascii="仿宋" w:hAnsi="仿宋" w:eastAsia="仿宋"/>
          <w:color w:val="auto"/>
          <w:sz w:val="32"/>
          <w:szCs w:val="32"/>
          <w:highlight w:val="none"/>
        </w:rPr>
        <w:t>　</w:t>
      </w:r>
    </w:p>
    <w:p w14:paraId="2179E82D">
      <w:pPr>
        <w:pStyle w:val="11"/>
        <w:spacing w:line="340" w:lineRule="exact"/>
        <w:jc w:val="center"/>
        <w:rPr>
          <w:b/>
          <w:bCs/>
          <w:color w:val="auto"/>
          <w:highlight w:val="none"/>
        </w:rPr>
      </w:pPr>
      <w:r>
        <w:rPr>
          <w:b/>
          <w:bCs/>
          <w:color w:val="auto"/>
          <w:highlight w:val="none"/>
        </w:rPr>
        <w:br w:type="page"/>
      </w:r>
    </w:p>
    <w:p w14:paraId="7E6CAC98">
      <w:pPr>
        <w:jc w:val="center"/>
        <w:outlineLvl w:val="1"/>
        <w:rPr>
          <w:rFonts w:hint="eastAsia"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常州市公安局市看守所2026-2027年绿化</w:t>
      </w:r>
    </w:p>
    <w:p w14:paraId="0BEEA7D5">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维护项目询价通知书</w:t>
      </w:r>
    </w:p>
    <w:p w14:paraId="147EF6F9">
      <w:pPr>
        <w:spacing w:line="360" w:lineRule="exact"/>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一、</w:t>
      </w:r>
      <w:r>
        <w:rPr>
          <w:rFonts w:ascii="宋体" w:hAnsi="宋体" w:cs="宋体"/>
          <w:b/>
          <w:color w:val="auto"/>
          <w:kern w:val="0"/>
          <w:szCs w:val="21"/>
          <w:highlight w:val="none"/>
        </w:rPr>
        <w:t>采购内容及要求</w:t>
      </w:r>
    </w:p>
    <w:p w14:paraId="0E5D9D20">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（一）养护清单</w:t>
      </w:r>
    </w:p>
    <w:tbl>
      <w:tblPr>
        <w:tblStyle w:val="20"/>
        <w:tblW w:w="4519" w:type="pct"/>
        <w:jc w:val="center"/>
        <w:tblLayout w:type="autofit"/>
        <w:tblCellMar>
          <w:top w:w="0" w:type="dxa"/>
          <w:left w:w="108" w:type="dxa"/>
          <w:bottom w:w="0" w:type="dxa"/>
          <w:right w:w="108" w:type="dxa"/>
        </w:tblCellMar>
      </w:tblPr>
      <w:tblGrid>
        <w:gridCol w:w="851"/>
        <w:gridCol w:w="1413"/>
        <w:gridCol w:w="2875"/>
        <w:gridCol w:w="1282"/>
        <w:gridCol w:w="1282"/>
      </w:tblGrid>
      <w:tr w14:paraId="7E2A445F">
        <w:tblPrEx>
          <w:tblCellMar>
            <w:top w:w="0" w:type="dxa"/>
            <w:left w:w="108" w:type="dxa"/>
            <w:bottom w:w="0" w:type="dxa"/>
            <w:right w:w="108" w:type="dxa"/>
          </w:tblCellMar>
        </w:tblPrEx>
        <w:trPr>
          <w:trHeight w:val="285" w:hRule="atLeast"/>
          <w:jc w:val="center"/>
        </w:trPr>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3671">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D129">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材料名称</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5965">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型号规格</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9749">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2E0F">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r>
      <w:tr w14:paraId="2EC1BE3B">
        <w:tblPrEx>
          <w:tblCellMar>
            <w:top w:w="0" w:type="dxa"/>
            <w:left w:w="108" w:type="dxa"/>
            <w:bottom w:w="0" w:type="dxa"/>
            <w:right w:w="108" w:type="dxa"/>
          </w:tblCellMar>
        </w:tblPrEx>
        <w:trPr>
          <w:trHeight w:val="339" w:hRule="atLeast"/>
          <w:jc w:val="center"/>
        </w:trPr>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E7B2">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AF24">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乔木</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2669">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胸径综合考虑</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CE0A">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株</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A6E0">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795</w:t>
            </w:r>
          </w:p>
        </w:tc>
      </w:tr>
      <w:tr w14:paraId="27FB90F6">
        <w:tblPrEx>
          <w:tblCellMar>
            <w:top w:w="0" w:type="dxa"/>
            <w:left w:w="108" w:type="dxa"/>
            <w:bottom w:w="0" w:type="dxa"/>
            <w:right w:w="108" w:type="dxa"/>
          </w:tblCellMar>
        </w:tblPrEx>
        <w:trPr>
          <w:trHeight w:val="285" w:hRule="atLeast"/>
          <w:jc w:val="center"/>
        </w:trPr>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ADCA">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1229">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球类</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BD18">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蓬径综合考虑</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245B">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株</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3F6E">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97</w:t>
            </w:r>
          </w:p>
        </w:tc>
      </w:tr>
      <w:tr w14:paraId="5477A6AE">
        <w:tblPrEx>
          <w:tblCellMar>
            <w:top w:w="0" w:type="dxa"/>
            <w:left w:w="108" w:type="dxa"/>
            <w:bottom w:w="0" w:type="dxa"/>
            <w:right w:w="108" w:type="dxa"/>
          </w:tblCellMar>
        </w:tblPrEx>
        <w:trPr>
          <w:trHeight w:val="285" w:hRule="atLeast"/>
          <w:jc w:val="center"/>
        </w:trPr>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6219">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4506">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灌木</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65F3">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蓬径综合考虑</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EBA7">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株</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75B9">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320</w:t>
            </w:r>
          </w:p>
        </w:tc>
      </w:tr>
      <w:tr w14:paraId="025DFE8A">
        <w:tblPrEx>
          <w:tblCellMar>
            <w:top w:w="0" w:type="dxa"/>
            <w:left w:w="108" w:type="dxa"/>
            <w:bottom w:w="0" w:type="dxa"/>
            <w:right w:w="108" w:type="dxa"/>
          </w:tblCellMar>
        </w:tblPrEx>
        <w:trPr>
          <w:trHeight w:val="285" w:hRule="atLeast"/>
          <w:jc w:val="center"/>
        </w:trPr>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7F51">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046D">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草坪</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497F">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江南暖冻型</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2E09">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平方米</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C892">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13935</w:t>
            </w:r>
          </w:p>
        </w:tc>
      </w:tr>
      <w:tr w14:paraId="17B76D3D">
        <w:tblPrEx>
          <w:tblCellMar>
            <w:top w:w="0" w:type="dxa"/>
            <w:left w:w="108" w:type="dxa"/>
            <w:bottom w:w="0" w:type="dxa"/>
            <w:right w:w="108" w:type="dxa"/>
          </w:tblCellMar>
        </w:tblPrEx>
        <w:trPr>
          <w:trHeight w:val="285" w:hRule="atLeast"/>
          <w:jc w:val="center"/>
        </w:trPr>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5C2E">
            <w:pPr>
              <w:widowControl/>
              <w:adjustRightInd w:val="0"/>
              <w:snapToGrid w:val="0"/>
              <w:spacing w:line="36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4C0C">
            <w:pPr>
              <w:widowControl/>
              <w:adjustRightInd w:val="0"/>
              <w:snapToGrid w:val="0"/>
              <w:spacing w:line="360" w:lineRule="exact"/>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杂草</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4BB5">
            <w:pPr>
              <w:widowControl/>
              <w:adjustRightInd w:val="0"/>
              <w:snapToGrid w:val="0"/>
              <w:spacing w:line="360" w:lineRule="exact"/>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杂草（割草，保持整洁）</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28C5">
            <w:pPr>
              <w:widowControl/>
              <w:adjustRightInd w:val="0"/>
              <w:snapToGrid w:val="0"/>
              <w:spacing w:line="36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平方</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E6C8">
            <w:pPr>
              <w:widowControl/>
              <w:adjustRightInd w:val="0"/>
              <w:snapToGrid w:val="0"/>
              <w:spacing w:line="36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4000</w:t>
            </w:r>
          </w:p>
        </w:tc>
      </w:tr>
      <w:tr w14:paraId="0C511819">
        <w:tblPrEx>
          <w:tblCellMar>
            <w:top w:w="0" w:type="dxa"/>
            <w:left w:w="108" w:type="dxa"/>
            <w:bottom w:w="0" w:type="dxa"/>
            <w:right w:w="108" w:type="dxa"/>
          </w:tblCellMar>
        </w:tblPrEx>
        <w:trPr>
          <w:trHeight w:val="285" w:hRule="atLeast"/>
          <w:jc w:val="center"/>
        </w:trPr>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EE18">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DAEB">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色块</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6492">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高度综合考虑</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E33B">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平方米</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57B9">
            <w:pPr>
              <w:widowControl/>
              <w:adjustRightInd w:val="0"/>
              <w:snapToGrid w:val="0"/>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1208</w:t>
            </w:r>
          </w:p>
        </w:tc>
      </w:tr>
    </w:tbl>
    <w:p w14:paraId="3C0EFAD3">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（二）养护要求</w:t>
      </w:r>
    </w:p>
    <w:p w14:paraId="4B11DC54">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(1)不得以任何形式对管理任务进行转包或分包。</w:t>
      </w:r>
    </w:p>
    <w:p w14:paraId="7B36DF57">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(2)根据采购人提供的相关资料及现场交底对所承包的区域制定科学、合理、可行的施工方案，交采购人审定。认真按标准养护管理，遵守采购人的各项规章制度，服从采购人的管理。</w:t>
      </w:r>
    </w:p>
    <w:p w14:paraId="42F5DA6C">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(3)按承诺的管养方案组织施工，保质、保量、按期完成各阶段的管养任务，解决、协调由供应商负责的各项事宜。</w:t>
      </w:r>
    </w:p>
    <w:p w14:paraId="0A25E0FA">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(4)遇重大活动或节日，供应商应全力以赴配合采购人工作。</w:t>
      </w:r>
    </w:p>
    <w:p w14:paraId="30C5458C">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(5)严格执行施工规范、安全操作规程、防火安全规定。建立健全各项管养原始台帐记录和各项质量检查记录。</w:t>
      </w:r>
    </w:p>
    <w:p w14:paraId="1EE54E18">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(6)对采购人验收不合格之处，在收到“质量整改通知书”后，应于7日内整改完毕，否则采购人将根据合同价的0.5%对供应商进行扣款。</w:t>
      </w:r>
    </w:p>
    <w:p w14:paraId="7AE59FF8">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(7)统一着装、佩戴工卡上岗，文明作业。</w:t>
      </w:r>
    </w:p>
    <w:p w14:paraId="45FBAFE7">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(8)每次修剪完的草坪、树枝等杂物，人工拔除的杂草等需及时清理、装袋，由供应商负责清运处理。</w:t>
      </w:r>
    </w:p>
    <w:p w14:paraId="18C6532E">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(9)由于供应商养护责任而导致的苗木死亡，破坏绿化效果，供应商应在适当的季节及时补种到位，费用由供应商承担。</w:t>
      </w:r>
    </w:p>
    <w:p w14:paraId="05F9E8CC">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(10)为保证管理到位，供应商应配备专职管理人员，并做好每个月养护管理计划，并做好日常养护记录，建立绿化养护技术档案。</w:t>
      </w:r>
    </w:p>
    <w:p w14:paraId="4628B189">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（三）养护工作内容</w:t>
      </w:r>
    </w:p>
    <w:p w14:paraId="39B10057">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(1)每月按照要求完成以下工作内容：</w:t>
      </w:r>
    </w:p>
    <w:tbl>
      <w:tblPr>
        <w:tblStyle w:val="20"/>
        <w:tblW w:w="84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1"/>
        <w:gridCol w:w="7229"/>
        <w:gridCol w:w="20"/>
      </w:tblGrid>
      <w:tr w14:paraId="116D1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Pr>
        <w:tc>
          <w:tcPr>
            <w:tcW w:w="1191" w:type="dxa"/>
            <w:shd w:val="clear" w:color="auto" w:fill="auto"/>
            <w:vAlign w:val="center"/>
          </w:tcPr>
          <w:p w14:paraId="1EBA5E27">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一月份</w:t>
            </w:r>
          </w:p>
        </w:tc>
        <w:tc>
          <w:tcPr>
            <w:tcW w:w="7229" w:type="dxa"/>
            <w:shd w:val="clear" w:color="auto" w:fill="auto"/>
          </w:tcPr>
          <w:p w14:paraId="77100E0D">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1、冬季修剪：全面展开对落叶树木的整形修剪作业；大小乔木上的枯枝、伤残枝、病虫枝及妨碍架空线和建筑物的枝权进行修剪。</w:t>
            </w:r>
          </w:p>
          <w:p w14:paraId="4BE86BA1">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2、绿地养护：绿地、花坛等地要注意挑除大型野草；草坪要及时挑草、切边；绿地内要注意防冻浇水。重点是黑麦草施肥杀菌治虫。</w:t>
            </w:r>
          </w:p>
        </w:tc>
      </w:tr>
      <w:tr w14:paraId="6DA29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Pr>
        <w:tc>
          <w:tcPr>
            <w:tcW w:w="1191" w:type="dxa"/>
            <w:shd w:val="clear" w:color="auto" w:fill="auto"/>
            <w:vAlign w:val="center"/>
          </w:tcPr>
          <w:p w14:paraId="65747920">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二月份</w:t>
            </w:r>
          </w:p>
        </w:tc>
        <w:tc>
          <w:tcPr>
            <w:tcW w:w="7229" w:type="dxa"/>
            <w:shd w:val="clear" w:color="auto" w:fill="auto"/>
          </w:tcPr>
          <w:p w14:paraId="0D146711">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1、修剪：继续对大小乔木的枯枝、病枝进行修剪。月底以前，把各种树木修剪完。</w:t>
            </w:r>
          </w:p>
          <w:p w14:paraId="1860BFAA">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2、防治害虫：以黑麦草防治为主。</w:t>
            </w:r>
          </w:p>
        </w:tc>
      </w:tr>
      <w:tr w14:paraId="7C4D8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Pr>
        <w:tc>
          <w:tcPr>
            <w:tcW w:w="1191" w:type="dxa"/>
            <w:shd w:val="clear" w:color="auto" w:fill="auto"/>
            <w:vAlign w:val="center"/>
          </w:tcPr>
          <w:p w14:paraId="365BD4D2">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三月份</w:t>
            </w:r>
          </w:p>
        </w:tc>
        <w:tc>
          <w:tcPr>
            <w:tcW w:w="7229" w:type="dxa"/>
            <w:shd w:val="clear" w:color="auto" w:fill="auto"/>
          </w:tcPr>
          <w:p w14:paraId="46FE3AC6">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1、补植树：春季是植树的有利时机。土壤解冻后，应立即抓紧时机将空脱的绿地补植。</w:t>
            </w:r>
          </w:p>
          <w:p w14:paraId="2DCFA71E">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2、春灌：因春季干旱多风，蒸发量大，为防止春旱，对绿地等应及时浇水。</w:t>
            </w:r>
          </w:p>
          <w:p w14:paraId="426414BE">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3、施肥：土壤解冻后，对植物施用基肥并灌水。</w:t>
            </w:r>
          </w:p>
          <w:p w14:paraId="1FEE0D44">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4、防治病虫害：本月是防治病虫害的关键时刻。 一些苗木出现了煤污病卷叶等采用喷洒杀螟松等农药进行防治。</w:t>
            </w:r>
          </w:p>
        </w:tc>
      </w:tr>
      <w:tr w14:paraId="39A0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Pr>
        <w:tc>
          <w:tcPr>
            <w:tcW w:w="1191" w:type="dxa"/>
            <w:shd w:val="clear" w:color="auto" w:fill="auto"/>
            <w:vAlign w:val="center"/>
          </w:tcPr>
          <w:p w14:paraId="5B22E45E">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四月份</w:t>
            </w:r>
          </w:p>
        </w:tc>
        <w:tc>
          <w:tcPr>
            <w:tcW w:w="7229" w:type="dxa"/>
            <w:shd w:val="clear" w:color="auto" w:fill="auto"/>
          </w:tcPr>
          <w:p w14:paraId="59DC0900">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1、补植树：春季是植树的有利时机。土壤解冻后，应立即抓紧时机将空脱的绿地补植。</w:t>
            </w:r>
          </w:p>
          <w:p w14:paraId="44379300">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2、春灌：因春季干旱多风，蒸发量大，为防止春旱，对绿地等应及时浇水。</w:t>
            </w:r>
          </w:p>
          <w:p w14:paraId="66F1209D">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3、施肥：土壤解冻后，对植物施用基肥并灌水。</w:t>
            </w:r>
          </w:p>
          <w:p w14:paraId="43735B7F">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4、防治病虫害：本月是防治病虫害的关键时刻。一些苗木出现了煤污病卷叶等采用喷洒杀螟松等农药进行防治。</w:t>
            </w:r>
          </w:p>
        </w:tc>
      </w:tr>
      <w:tr w14:paraId="0771E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Pr>
        <w:tc>
          <w:tcPr>
            <w:tcW w:w="1191" w:type="dxa"/>
            <w:shd w:val="clear" w:color="auto" w:fill="auto"/>
            <w:vAlign w:val="center"/>
          </w:tcPr>
          <w:p w14:paraId="48A8F4BA">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五月份</w:t>
            </w:r>
          </w:p>
        </w:tc>
        <w:tc>
          <w:tcPr>
            <w:tcW w:w="7229" w:type="dxa"/>
            <w:shd w:val="clear" w:color="auto" w:fill="auto"/>
          </w:tcPr>
          <w:p w14:paraId="09A9575F">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1、浇水：树木展叶盛期，需水量很大，应适时浇水。</w:t>
            </w:r>
          </w:p>
          <w:p w14:paraId="3C4FE712">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2、修剪：修剪残花。行道树进行第一次的剥芽修剪。黑麦草修剪控高。</w:t>
            </w:r>
          </w:p>
          <w:p w14:paraId="51CC9195">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3、防治病虫害：以捕捉天牛为主。刺蛾第一代孵化，但尚未达到危害程度，根据养护区内的实际情况做出相应措施。由蚧壳虫、蚜虫等引起的煤污病也进入了盛发期(在紫薇、海桐、夹竹桃等上)。</w:t>
            </w:r>
          </w:p>
        </w:tc>
      </w:tr>
      <w:tr w14:paraId="18C25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1" w:type="dxa"/>
            <w:shd w:val="clear" w:color="auto" w:fill="auto"/>
            <w:vAlign w:val="center"/>
          </w:tcPr>
          <w:p w14:paraId="130DDFB2">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六月份</w:t>
            </w:r>
          </w:p>
        </w:tc>
        <w:tc>
          <w:tcPr>
            <w:tcW w:w="7249" w:type="dxa"/>
            <w:gridSpan w:val="2"/>
            <w:shd w:val="clear" w:color="auto" w:fill="auto"/>
          </w:tcPr>
          <w:p w14:paraId="4AEEECD5">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1、浇水：植物需水量大，要及时浇水，不能“看天吃饭”。</w:t>
            </w:r>
          </w:p>
          <w:p w14:paraId="757FB8CE">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2、施肥：结合松土除草、施肥、浇水以达到最好的效果。</w:t>
            </w:r>
          </w:p>
          <w:p w14:paraId="1DC9C140">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3、修剪：继续对行道树进行剥芽除蘖工作。对绿篱、球类及部分花灌木实施修剪。黑麦草修剪控高。</w:t>
            </w:r>
          </w:p>
          <w:p w14:paraId="752AFF43">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4、排水工作：有大雨天气时要注意低洼处的排水工作。</w:t>
            </w:r>
          </w:p>
          <w:p w14:paraId="3FC60D80">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5、防治病虫害：六月中、下旬刺蛾进入孵化盛期，应及时采取措施。</w:t>
            </w:r>
          </w:p>
          <w:p w14:paraId="36D695A4">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6、做好树木防汛防台前的检查工作，对松动、倾斜的树木进行扶正、加固及重新绑扎。</w:t>
            </w:r>
          </w:p>
        </w:tc>
      </w:tr>
      <w:tr w14:paraId="7DD1E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1" w:type="dxa"/>
            <w:shd w:val="clear" w:color="auto" w:fill="auto"/>
            <w:vAlign w:val="center"/>
          </w:tcPr>
          <w:p w14:paraId="3A7257F1">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七月份</w:t>
            </w:r>
          </w:p>
        </w:tc>
        <w:tc>
          <w:tcPr>
            <w:tcW w:w="7249" w:type="dxa"/>
            <w:gridSpan w:val="2"/>
            <w:shd w:val="clear" w:color="auto" w:fill="auto"/>
          </w:tcPr>
          <w:p w14:paraId="418B71B4">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1、移植常绿树：雨季期间，水分充足，可以移植针叶树和竹类，但要注意天气变化， 一旦碰到高温要及时浇水。</w:t>
            </w:r>
          </w:p>
          <w:p w14:paraId="11EC8A92">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2、排涝：大雨过后要及时排涝。</w:t>
            </w:r>
          </w:p>
          <w:p w14:paraId="7624384B">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3、施追肥：在下雨前干施氮肥等速效肥。</w:t>
            </w:r>
          </w:p>
          <w:p w14:paraId="4DCBFB58">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行道树：进行防台剥芽修剪，对与电线有矛盾的树枝一律修剪，并对树桩逐个检查，发现松垮、不稳立即扶正绑紧。事先做好劳力组织、物资材料、工具设备等方面的准备，并随时派人检查，发现险情及时处理。</w:t>
            </w:r>
          </w:p>
          <w:p w14:paraId="5331DFB3">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5、防治病虫害：继续对天牛及刺蛾进行防治。防治天牛可以采用50%杀螟松1: 50倍液注射，(或果树宝、或园科三号)然后封住洞口，也可达到很好的效果。</w:t>
            </w:r>
          </w:p>
        </w:tc>
      </w:tr>
      <w:tr w14:paraId="7056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1" w:type="dxa"/>
            <w:shd w:val="clear" w:color="auto" w:fill="auto"/>
            <w:vAlign w:val="center"/>
          </w:tcPr>
          <w:p w14:paraId="162D29B7">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八月份</w:t>
            </w:r>
          </w:p>
        </w:tc>
        <w:tc>
          <w:tcPr>
            <w:tcW w:w="7249" w:type="dxa"/>
            <w:gridSpan w:val="2"/>
            <w:shd w:val="clear" w:color="auto" w:fill="auto"/>
          </w:tcPr>
          <w:p w14:paraId="3660089D">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1、排涝：大雨过后，对低洼积水处要及时排涝。</w:t>
            </w:r>
          </w:p>
          <w:p w14:paraId="17F58883">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2、行道树防台工作：继续做好行道树的防台工作。</w:t>
            </w:r>
          </w:p>
          <w:p w14:paraId="4FC46860">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3、修剪：除一般树木夏修外，要对绿篱进行造型修剪。草坪修剪。</w:t>
            </w:r>
          </w:p>
          <w:p w14:paraId="71FC3EF9">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4、中耕除草：杂草生长也旺盛，要及时的除草，并可结合除草进行施肥。</w:t>
            </w:r>
          </w:p>
          <w:p w14:paraId="25C8CF8E">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5、防治病虫害：捕捉天牛为主，注意根部的天牛捕捉。蚜虫危害、香樟樟巢螟要及时防治。潮湿天气要注意病及腐烂病，要及时采取措施。</w:t>
            </w:r>
          </w:p>
        </w:tc>
      </w:tr>
      <w:tr w14:paraId="5C849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1" w:type="dxa"/>
            <w:shd w:val="clear" w:color="auto" w:fill="auto"/>
            <w:vAlign w:val="center"/>
          </w:tcPr>
          <w:p w14:paraId="6D436ECB">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九月份</w:t>
            </w:r>
          </w:p>
        </w:tc>
        <w:tc>
          <w:tcPr>
            <w:tcW w:w="7249" w:type="dxa"/>
            <w:gridSpan w:val="2"/>
            <w:shd w:val="clear" w:color="auto" w:fill="auto"/>
          </w:tcPr>
          <w:p w14:paraId="13E900C0">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1、修剪：迎接国庆工作，行道树三级分叉以下剥芽。绿篱造型修剪。绿地内除草，草坪切边，及时清理死树，做到树木青枝绿叶，绿地干净整齐。</w:t>
            </w:r>
          </w:p>
          <w:p w14:paraId="11059212">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2、施肥：对一些生长较弱，枝条不够充实的树木，应追施一些磷、钾肥。</w:t>
            </w:r>
          </w:p>
          <w:p w14:paraId="0E1C56D6">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3、防治病虫害：穿孔病为发病高峰，采用500%多菌灵1000倍液防止侵染。天牛开始转向根部危害，注意根部天牛的捕捉。对杨、柳上的木蠹蛾也要及时防治。做好其它病虫害的防治工作。</w:t>
            </w:r>
          </w:p>
        </w:tc>
      </w:tr>
      <w:tr w14:paraId="34710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1" w:type="dxa"/>
            <w:shd w:val="clear" w:color="auto" w:fill="auto"/>
            <w:vAlign w:val="center"/>
          </w:tcPr>
          <w:p w14:paraId="4E3C2EE4">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十月份</w:t>
            </w:r>
          </w:p>
        </w:tc>
        <w:tc>
          <w:tcPr>
            <w:tcW w:w="7249" w:type="dxa"/>
            <w:gridSpan w:val="2"/>
            <w:shd w:val="clear" w:color="auto" w:fill="auto"/>
          </w:tcPr>
          <w:p w14:paraId="758390D3">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1、二级草坪(5335平方米)播种黑麦草。</w:t>
            </w:r>
          </w:p>
          <w:p w14:paraId="422729F9">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2、绿地养护：及时去除死树，及时浇水。绿地、草坪挑草切边工作要做好。</w:t>
            </w:r>
          </w:p>
          <w:p w14:paraId="3A9907D5">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3、防治病虫害：继续捕捉根部天牛。香樟樟巢螟也要注意观察防治。</w:t>
            </w:r>
          </w:p>
        </w:tc>
      </w:tr>
      <w:tr w14:paraId="45DBF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1" w:type="dxa"/>
            <w:shd w:val="clear" w:color="auto" w:fill="auto"/>
            <w:vAlign w:val="center"/>
          </w:tcPr>
          <w:p w14:paraId="290B2013">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十一月份</w:t>
            </w:r>
          </w:p>
        </w:tc>
        <w:tc>
          <w:tcPr>
            <w:tcW w:w="7249" w:type="dxa"/>
            <w:gridSpan w:val="2"/>
            <w:shd w:val="clear" w:color="auto" w:fill="auto"/>
          </w:tcPr>
          <w:p w14:paraId="2C8CF1C1">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1、植树：继续栽植耐寒植物，土壤冻结前完成。</w:t>
            </w:r>
          </w:p>
          <w:p w14:paraId="4681F51E">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2、翻土：对绿地土壤翻土，暴露准备越冬的害虫。</w:t>
            </w:r>
          </w:p>
          <w:p w14:paraId="29FC4805">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3、浇水：黑麦草浇水。</w:t>
            </w:r>
          </w:p>
          <w:p w14:paraId="00C1889D">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4、病虫害防治各种害虫在下旬准备过冬，防治任务主要是涂白。</w:t>
            </w:r>
          </w:p>
        </w:tc>
      </w:tr>
      <w:tr w14:paraId="66230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91" w:type="dxa"/>
            <w:shd w:val="clear" w:color="auto" w:fill="auto"/>
            <w:vAlign w:val="center"/>
          </w:tcPr>
          <w:p w14:paraId="372E7705">
            <w:pPr>
              <w:tabs>
                <w:tab w:val="left" w:pos="900"/>
              </w:tabs>
              <w:adjustRightInd w:val="0"/>
              <w:snapToGrid w:val="0"/>
              <w:spacing w:line="3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十二月份</w:t>
            </w:r>
          </w:p>
        </w:tc>
        <w:tc>
          <w:tcPr>
            <w:tcW w:w="7249" w:type="dxa"/>
            <w:gridSpan w:val="2"/>
            <w:shd w:val="clear" w:color="auto" w:fill="auto"/>
          </w:tcPr>
          <w:p w14:paraId="677593FC">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1、冬季修剪：对些常绿乔木、灌木进行修剪。</w:t>
            </w:r>
          </w:p>
          <w:p w14:paraId="7FE2C8F7">
            <w:pPr>
              <w:tabs>
                <w:tab w:val="left" w:pos="900"/>
              </w:tabs>
              <w:adjustRightInd w:val="0"/>
              <w:snapToGrid w:val="0"/>
              <w:spacing w:line="360" w:lineRule="exact"/>
              <w:ind w:left="105" w:leftChars="5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2、消灭越冬病虫害，施冬肥。</w:t>
            </w:r>
          </w:p>
        </w:tc>
      </w:tr>
    </w:tbl>
    <w:p w14:paraId="020721CA">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(2)保证提供养护项目所使用的肥料、农药、除草剂、割草机、割草机所需汽油、劳动力、材料设备和服务。</w:t>
      </w:r>
    </w:p>
    <w:p w14:paraId="21F7902F">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(3)保证提供二级保养草坪的黑麦草草籽播种，保持二级草坪常绿。</w:t>
      </w:r>
    </w:p>
    <w:p w14:paraId="01C236D3">
      <w:pPr>
        <w:adjustRightInd w:val="0"/>
        <w:snapToGrid w:val="0"/>
        <w:spacing w:line="341"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(4)保证对于甲方临时安排的工作做到行动迅速、及时完成。</w:t>
      </w:r>
    </w:p>
    <w:p w14:paraId="2EFEA109">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（四）管养标准及质量要求</w:t>
      </w:r>
    </w:p>
    <w:p w14:paraId="6F15BF0E">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绿地养护质量标准要求：《常州市城市绿地养护管理质量标准》。植物保存率100%，设施完好率100%。养护要求：按《常州市城市长效综合管理考评标准及计分细则》、《常州市城绿地养护技术要求》等相关标准执行。</w:t>
      </w:r>
    </w:p>
    <w:p w14:paraId="528B64B5">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2、按照市、区城市长效管理的考核标准，保质、保量如期完成各阶段的管养工作及任务。</w:t>
      </w:r>
    </w:p>
    <w:p w14:paraId="1DA56A9F">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供应商配备专职巡查人员，按《常州市城市长效综合管理考评标准》展开巡查工作，每周全面巡查养护不少于三次，且绿化巡更点每日一次打点，巡查人员每日对当天工作情况进行记录，每周做一次小结，月底对分工范围内的绿地的管养情况进行全面总结。专职巡视资料员日常巡查内容保含：</w:t>
      </w:r>
    </w:p>
    <w:p w14:paraId="0E0AA6CB">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1）、养护区域有无私开、私挖现象；</w:t>
      </w:r>
    </w:p>
    <w:p w14:paraId="05DEB446">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2）、养护区域内各类绿化植物有无私自修剪现象；</w:t>
      </w:r>
    </w:p>
    <w:p w14:paraId="7B73C15E">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3）、养护区域内有无苗木偷盗、绿化带毁绿种菜现象；</w:t>
      </w:r>
    </w:p>
    <w:p w14:paraId="2DADF0CC">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4）、养护区域内有无苗木死亡、空秃及病虫害现象；</w:t>
      </w:r>
    </w:p>
    <w:p w14:paraId="1110C6FD">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5）、养护区域内设施的损坏现象；</w:t>
      </w:r>
    </w:p>
    <w:p w14:paraId="13C872BB">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6）、其他各类采购人另行规定的巡查内容。</w:t>
      </w:r>
    </w:p>
    <w:p w14:paraId="47FB825A">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上述巡查内容，发生的绿化补种、恢复等费用（除行政审批开挖占用及采购人另行约定的）由供应商自行承担。如未按要求进行巡查、处理的，按《常州市城市长效综合管理考评标准及计分细则》等相关条款进行处罚。</w:t>
      </w:r>
    </w:p>
    <w:p w14:paraId="4A48ED7B">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③供应商已经对现有绿化带范围进行详细勘察，报价已经充分考虑到原有区域内的空秃、补种等问题，确保满足长效考核要求及景观效果，采购人不需承担任何费用。</w:t>
      </w:r>
    </w:p>
    <w:p w14:paraId="0C8DEF85">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供应商严格遵循《常州市城市绿地养护管理质量标准》、《常州市城绿地养护技术要求》、《常州市城市长效综合管理考评标准及计分细则》等相关绿化管理条例及采购人指令开展养护工作。供应商也理解随着城市发展和城市管理手段的不断改进，采购人有对《常州市城市绿地养护管理质量标准》、《常州市城绿地养护技术要求》、《常州市城市长效综合管理考评标准及计分细则》调整的权利，供应商愿遵循新的管理制度，因政策调整（政策性发文），工程改造、交接等，采购人亦有权对管养区域面积进行调整，供应商无条件接受。</w:t>
      </w:r>
    </w:p>
    <w:p w14:paraId="120DCA25">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5、绿化养护履约期间将按照《常州市城市长效综合管理考评标准及计分细则》及上述标准和要求对该招标项目绿化养护进行检查考核和验收。</w:t>
      </w:r>
    </w:p>
    <w:p w14:paraId="1D6F9B03">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6、绿地养护垃圾外运由供应商自行解决。</w:t>
      </w:r>
    </w:p>
    <w:p w14:paraId="2EE6E45B">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7、未尽事宜执行养护细则、考核办法。</w:t>
      </w:r>
    </w:p>
    <w:p w14:paraId="00624567">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8、采购人有权对考核细则进行修改、调整，投标人投标报价时应对该变化有充分的考虑，结算时单价不另行调整。</w:t>
      </w:r>
    </w:p>
    <w:p w14:paraId="0B65C830">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（五）检查考核办法</w:t>
      </w:r>
    </w:p>
    <w:p w14:paraId="46D244DF">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促进绿化养护管理工作规范化、制度化，提高养护管理水平，进一步强化考核管理，采购人拟定以下考核办法。成交供应商在履约期间，采购人将按照《常州市城区绿化养护考核评分标准》、《常州市绿化养护工作月历》，采取定期检查、抽查的方式，对绿化养护管理质量进行检查考核。</w:t>
      </w:r>
    </w:p>
    <w:p w14:paraId="69F9A8B8">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（六）考核评分说明</w:t>
      </w:r>
    </w:p>
    <w:p w14:paraId="11A900CC">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考核评分项目分三大类、九小项。即基础管理、整体观感、养护质量三大类。其中基础管理考核包括：管理机构、管养制度、操作规范、社会反响四项；整体观感考核包括：景观效果、工作形象、绿地保洁三项；养护质量考核包括：行道树、绿地二项。</w:t>
      </w:r>
    </w:p>
    <w:p w14:paraId="64738185">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2、考核实行百分制，考核项目所占比分分别为：基础管理15分、整体观感15分、养护质量70分（其中行道树20分，绿地50分）。</w:t>
      </w:r>
    </w:p>
    <w:p w14:paraId="3959CB68">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考核每月一次，考核得分由定期考核和抽查考核得分组成。定期考核：每月由采购人定期组织一次双方共同现场巡视，按照《常州市城区绿化养护考核评分标准》检查项逐一考核评分。抽查考核：由采购人在当月日常巡查中将发现的问题对照《常州市城区绿化养护考核评分标准》条款进行考核评分。当月已在抽查考核中扣过分的检查项，在定期考核中不再重复扣分。</w:t>
      </w:r>
    </w:p>
    <w:p w14:paraId="53E0F685">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（七）考评处罚措施</w:t>
      </w:r>
    </w:p>
    <w:p w14:paraId="13FC8B0C">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每月考核得分与当月养护费挂钩。当月考核得分90分（含）以上，不扣减当月养护费；85（含）～90分之间，每扣一分相应扣减当月养护费的0.5%；80（含）～85分之间，每扣一分相应扣减当月养护费的1%；80分以下为不合格，每扣一分相应扣减当月养护费的2%，下不设底。</w:t>
      </w:r>
    </w:p>
    <w:p w14:paraId="1B5ED092">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2、有以下情况的在当月养护费中直接扣减相应数额：</w:t>
      </w:r>
    </w:p>
    <w:p w14:paraId="214593DA">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 因养护不当、管理不善造成景观植物死亡，未能及时按规定补植到位的，至少扣800元，死亡植物价值高于800元的根据植物规格按当时市场价扣除。成交供应商无力补植则采购人另行安排其它单位补植，费用从成交供应商养护费中扣除。</w:t>
      </w:r>
    </w:p>
    <w:p w14:paraId="64D684B0">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3、当月养护费基数扣除上述1、2二项后即为当月实得养护费用。</w:t>
      </w:r>
    </w:p>
    <w:p w14:paraId="50609DBE">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4、有下列情形之一的，合同采购人有权单方终止与成交供应商的管养合同，当季度养护费不予结算:</w:t>
      </w:r>
    </w:p>
    <w:p w14:paraId="555E535F">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 未按招标文件要求组织养护，使养护管理处于失控状态的；</w:t>
      </w:r>
    </w:p>
    <w:p w14:paraId="3BF257F7">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 擅自将管养项目进行转包的；</w:t>
      </w:r>
    </w:p>
    <w:p w14:paraId="3A3D7F1F">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 养护质量严重偏离采购人要求，连续三个月考核不合格得分在80分以下的。</w:t>
      </w:r>
    </w:p>
    <w:p w14:paraId="77EB5C95">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5、合同的解除：</w:t>
      </w:r>
    </w:p>
    <w:p w14:paraId="7D3391C2">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（1）若成交供应商在履行合同期间违反下列规定将被解除合同：</w:t>
      </w:r>
    </w:p>
    <w:p w14:paraId="42A84A6E">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（2）成交供应商擅自将该绿地养护管理项目转包他人；</w:t>
      </w:r>
    </w:p>
    <w:p w14:paraId="0DF3D2D2">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（3）成交供应商严重违反合同约定，未按招标文件要求组织养护，使管养处于失控状态的；</w:t>
      </w:r>
    </w:p>
    <w:p w14:paraId="10BABAF1">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（4）成交供应商的养护规范或养护质量严重偏离采购人要求，连续三个月考核不合格的。</w:t>
      </w:r>
    </w:p>
    <w:p w14:paraId="63ABD998">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（八）服务期限及付款方式</w:t>
      </w:r>
    </w:p>
    <w:p w14:paraId="1907B362">
      <w:pPr>
        <w:adjustRightInd w:val="0"/>
        <w:snapToGrid w:val="0"/>
        <w:spacing w:line="341"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1、服务期限为</w:t>
      </w: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rPr>
        <w:t>年，合同</w:t>
      </w:r>
      <w:r>
        <w:rPr>
          <w:rFonts w:hint="eastAsia" w:ascii="宋体" w:hAnsi="宋体" w:eastAsia="宋体" w:cs="宋体"/>
          <w:bCs/>
          <w:color w:val="auto"/>
          <w:sz w:val="21"/>
          <w:szCs w:val="21"/>
          <w:highlight w:val="none"/>
          <w:lang w:eastAsia="zh-CN"/>
        </w:rPr>
        <w:t>期</w:t>
      </w:r>
      <w:r>
        <w:rPr>
          <w:rFonts w:hint="eastAsia" w:ascii="宋体" w:hAnsi="宋体" w:eastAsia="宋体" w:cs="宋体"/>
          <w:bCs/>
          <w:color w:val="auto"/>
          <w:sz w:val="21"/>
          <w:szCs w:val="21"/>
          <w:highlight w:val="none"/>
        </w:rPr>
        <w:t>一年，其中：前三个月为试用期，试用期满须经采购人考核，考核不合格，采购人有权解除合同。</w:t>
      </w:r>
    </w:p>
    <w:p w14:paraId="458F1366">
      <w:pPr>
        <w:adjustRightInd w:val="0"/>
        <w:snapToGrid w:val="0"/>
        <w:spacing w:line="341" w:lineRule="auto"/>
        <w:ind w:left="105" w:leftChars="50"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2、每月应付的合同价款=合同价/合同期内总月数×当月考核得分折合的百分比。三个月支付一次服务费。</w:t>
      </w:r>
    </w:p>
    <w:p w14:paraId="239C8F9D">
      <w:pPr>
        <w:spacing w:line="360" w:lineRule="exact"/>
        <w:ind w:firstLine="422" w:firstLineChars="200"/>
        <w:outlineLvl w:val="1"/>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二、询价响应文件的内容：</w:t>
      </w:r>
    </w:p>
    <w:p w14:paraId="0F098CDB">
      <w:pPr>
        <w:spacing w:line="360" w:lineRule="exact"/>
        <w:ind w:firstLine="422" w:firstLineChars="200"/>
        <w:outlineLvl w:val="1"/>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（一）资格证明材料</w:t>
      </w:r>
    </w:p>
    <w:p w14:paraId="4F3BEC1A">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★1.营业执照副本</w:t>
      </w:r>
    </w:p>
    <w:p w14:paraId="18AB682A">
      <w:pPr>
        <w:widowControl/>
        <w:snapToGrid w:val="0"/>
        <w:spacing w:line="360" w:lineRule="exact"/>
        <w:ind w:firstLine="420" w:firstLineChars="200"/>
        <w:jc w:val="left"/>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2.供应商简介（含供应商规模、技术能力及装备水平等）、人员情况、典型项目介绍等</w:t>
      </w:r>
    </w:p>
    <w:p w14:paraId="64C5B858">
      <w:pPr>
        <w:widowControl/>
        <w:snapToGrid w:val="0"/>
        <w:spacing w:line="360" w:lineRule="exact"/>
        <w:ind w:firstLine="420" w:firstLineChars="200"/>
        <w:jc w:val="left"/>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★3.供应商资格声明函（附件1）</w:t>
      </w:r>
    </w:p>
    <w:p w14:paraId="5C6617D9">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★4.响应函（附件2）</w:t>
      </w:r>
    </w:p>
    <w:p w14:paraId="13CFA3F7">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★5.</w:t>
      </w:r>
      <w:r>
        <w:rPr>
          <w:rFonts w:hint="eastAsia" w:cs="宋体"/>
          <w:color w:val="auto"/>
          <w:szCs w:val="21"/>
          <w:highlight w:val="none"/>
        </w:rPr>
        <w:t>法定代表人资格证明书、法定代表人身份证复印件（双面）（附件3）</w:t>
      </w:r>
    </w:p>
    <w:p w14:paraId="00E36288">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★6.授权委托书、代理人身份证复印件（双面）、供应商近三个月（自开标之日往前推）为其缴纳社保的记录（如果有授权委托情况的，必须提供）（附件4）</w:t>
      </w:r>
    </w:p>
    <w:p w14:paraId="5ADD5136">
      <w:pPr>
        <w:spacing w:line="360" w:lineRule="exact"/>
        <w:ind w:firstLine="422" w:firstLineChars="201"/>
        <w:rPr>
          <w:rFonts w:ascii="宋体" w:hAnsi="宋体" w:cs="宋体"/>
          <w:color w:val="auto"/>
          <w:szCs w:val="21"/>
          <w:highlight w:val="none"/>
        </w:rPr>
      </w:pPr>
      <w:r>
        <w:rPr>
          <w:rFonts w:hint="eastAsia" w:ascii="宋体" w:cs="宋体"/>
          <w:bCs/>
          <w:color w:val="auto"/>
          <w:kern w:val="0"/>
          <w:szCs w:val="21"/>
          <w:highlight w:val="none"/>
        </w:rPr>
        <w:t>★7.</w:t>
      </w:r>
      <w:r>
        <w:rPr>
          <w:rFonts w:hint="eastAsia" w:ascii="宋体" w:hAnsi="宋体" w:cs="宋体"/>
          <w:color w:val="auto"/>
          <w:szCs w:val="21"/>
          <w:highlight w:val="none"/>
        </w:rPr>
        <w:t>提供“信用中国”网站下列查询截图：</w:t>
      </w:r>
    </w:p>
    <w:p w14:paraId="618E5EE9">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（1）信用记录行政处罚(www.creditchina.gov.cn)</w:t>
      </w:r>
    </w:p>
    <w:p w14:paraId="44B9631F">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（2）失信被执行人（https://zxgk.court.gov.cn/shixin/）</w:t>
      </w:r>
    </w:p>
    <w:p w14:paraId="774993A6">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（3）重大税收违法案件当事人名单</w:t>
      </w:r>
    </w:p>
    <w:p w14:paraId="5574ED27">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（https://www.creditchina.gov.cn/zhuanxiangchaxun/zhongdashuishouweifaanjian/）</w:t>
      </w:r>
    </w:p>
    <w:p w14:paraId="62EA1C82">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（4）严重失信行为记录名单</w:t>
      </w:r>
    </w:p>
    <w:p w14:paraId="449226DA">
      <w:pPr>
        <w:spacing w:line="360" w:lineRule="exact"/>
        <w:rPr>
          <w:rFonts w:ascii="宋体" w:hAnsi="宋体" w:cs="宋体"/>
          <w:bCs/>
          <w:color w:val="auto"/>
          <w:szCs w:val="21"/>
          <w:highlight w:val="none"/>
        </w:rPr>
      </w:pPr>
      <w:r>
        <w:rPr>
          <w:rFonts w:hint="eastAsia" w:ascii="宋体" w:hAnsi="宋体" w:cs="宋体"/>
          <w:color w:val="auto"/>
          <w:szCs w:val="21"/>
          <w:highlight w:val="none"/>
        </w:rPr>
        <w:t>（https://www.creditchina.gov.cn/xinxigongshi/shixinheimingdan/）</w:t>
      </w:r>
    </w:p>
    <w:p w14:paraId="334BBF01">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（二）符合性证明材料</w:t>
      </w:r>
    </w:p>
    <w:p w14:paraId="395CD35E">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w:t>
      </w:r>
      <w:r>
        <w:rPr>
          <w:rFonts w:ascii="宋体" w:cs="宋体"/>
          <w:bCs/>
          <w:color w:val="auto"/>
          <w:kern w:val="0"/>
          <w:szCs w:val="21"/>
          <w:highlight w:val="none"/>
        </w:rPr>
        <w:t>.</w:t>
      </w:r>
      <w:r>
        <w:rPr>
          <w:rFonts w:hint="eastAsia" w:ascii="宋体" w:cs="宋体"/>
          <w:bCs/>
          <w:color w:val="auto"/>
          <w:kern w:val="0"/>
          <w:szCs w:val="21"/>
          <w:highlight w:val="none"/>
        </w:rPr>
        <w:t>报价一览表（附件5）</w:t>
      </w:r>
    </w:p>
    <w:p w14:paraId="72CE5A62">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2</w:t>
      </w:r>
      <w:r>
        <w:rPr>
          <w:rFonts w:ascii="宋体" w:cs="宋体"/>
          <w:bCs/>
          <w:color w:val="auto"/>
          <w:kern w:val="0"/>
          <w:szCs w:val="21"/>
          <w:highlight w:val="none"/>
        </w:rPr>
        <w:t>.</w:t>
      </w:r>
      <w:r>
        <w:rPr>
          <w:rFonts w:hint="eastAsia" w:ascii="宋体" w:cs="宋体"/>
          <w:bCs/>
          <w:color w:val="auto"/>
          <w:kern w:val="0"/>
          <w:szCs w:val="21"/>
          <w:highlight w:val="none"/>
        </w:rPr>
        <w:t>服务承诺书（附件6）</w:t>
      </w:r>
    </w:p>
    <w:p w14:paraId="7A01FEF4">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★3</w:t>
      </w:r>
      <w:r>
        <w:rPr>
          <w:rFonts w:ascii="宋体" w:cs="宋体"/>
          <w:bCs/>
          <w:color w:val="auto"/>
          <w:kern w:val="0"/>
          <w:szCs w:val="21"/>
          <w:highlight w:val="none"/>
        </w:rPr>
        <w:t>.</w:t>
      </w:r>
      <w:r>
        <w:rPr>
          <w:rFonts w:hint="eastAsia" w:ascii="宋体" w:cs="宋体"/>
          <w:bCs/>
          <w:color w:val="auto"/>
          <w:kern w:val="0"/>
          <w:szCs w:val="21"/>
          <w:highlight w:val="none"/>
        </w:rPr>
        <w:t>偏离表（附件7）</w:t>
      </w:r>
    </w:p>
    <w:p w14:paraId="598EDEC1">
      <w:pPr>
        <w:widowControl/>
        <w:snapToGrid w:val="0"/>
        <w:spacing w:line="360" w:lineRule="exact"/>
        <w:ind w:firstLine="420" w:firstLineChars="200"/>
        <w:jc w:val="left"/>
        <w:rPr>
          <w:rFonts w:ascii="宋体" w:cs="宋体"/>
          <w:bCs/>
          <w:color w:val="auto"/>
          <w:kern w:val="0"/>
          <w:szCs w:val="21"/>
          <w:highlight w:val="none"/>
        </w:rPr>
      </w:pPr>
      <w:r>
        <w:rPr>
          <w:rFonts w:ascii="宋体" w:cs="宋体"/>
          <w:bCs/>
          <w:color w:val="auto"/>
          <w:kern w:val="0"/>
          <w:szCs w:val="21"/>
          <w:highlight w:val="none"/>
        </w:rPr>
        <w:t>5.</w:t>
      </w:r>
      <w:r>
        <w:rPr>
          <w:rFonts w:hint="eastAsia" w:ascii="宋体" w:cs="宋体"/>
          <w:bCs/>
          <w:color w:val="auto"/>
          <w:kern w:val="0"/>
          <w:szCs w:val="21"/>
          <w:highlight w:val="none"/>
        </w:rPr>
        <w:t>其他资料</w:t>
      </w:r>
    </w:p>
    <w:p w14:paraId="51C6E81D">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（三）说明</w:t>
      </w:r>
    </w:p>
    <w:p w14:paraId="535CB5D6">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1.询价响应文件</w:t>
      </w:r>
      <w:r>
        <w:rPr>
          <w:rFonts w:hint="eastAsia" w:ascii="宋体" w:cs="宋体"/>
          <w:color w:val="auto"/>
          <w:kern w:val="0"/>
          <w:szCs w:val="21"/>
          <w:highlight w:val="none"/>
        </w:rPr>
        <w:t>中复印件需加盖供应商公章，</w:t>
      </w:r>
      <w:r>
        <w:rPr>
          <w:rFonts w:hint="eastAsia" w:ascii="宋体" w:cs="宋体"/>
          <w:bCs/>
          <w:color w:val="auto"/>
          <w:kern w:val="0"/>
          <w:szCs w:val="21"/>
          <w:highlight w:val="none"/>
        </w:rPr>
        <w:t>带“★”内容均必须提供并加盖供应商公章，否则将作为无效响应文件处理。</w:t>
      </w:r>
    </w:p>
    <w:p w14:paraId="2274C6E0">
      <w:pPr>
        <w:spacing w:line="360" w:lineRule="exact"/>
        <w:ind w:firstLine="420" w:firstLineChars="200"/>
        <w:rPr>
          <w:rFonts w:ascii="宋体" w:hAnsi="宋体" w:cs="宋体"/>
          <w:color w:val="auto"/>
          <w:szCs w:val="21"/>
          <w:highlight w:val="none"/>
        </w:rPr>
      </w:pPr>
      <w:r>
        <w:rPr>
          <w:rFonts w:hint="eastAsia" w:ascii="宋体" w:cs="宋体"/>
          <w:bCs/>
          <w:color w:val="auto"/>
          <w:kern w:val="0"/>
          <w:szCs w:val="21"/>
          <w:highlight w:val="none"/>
        </w:rPr>
        <w:t>2.</w:t>
      </w:r>
      <w:r>
        <w:rPr>
          <w:rFonts w:hint="eastAsia" w:ascii="宋体" w:cs="宋体"/>
          <w:color w:val="auto"/>
          <w:kern w:val="0"/>
          <w:szCs w:val="21"/>
          <w:highlight w:val="none"/>
        </w:rPr>
        <w:t>询价</w:t>
      </w:r>
      <w:r>
        <w:rPr>
          <w:rFonts w:ascii="宋体" w:cs="宋体"/>
          <w:color w:val="auto"/>
          <w:kern w:val="0"/>
          <w:szCs w:val="21"/>
          <w:highlight w:val="none"/>
        </w:rPr>
        <w:t>响应文件</w:t>
      </w:r>
      <w:r>
        <w:rPr>
          <w:rFonts w:hint="eastAsia" w:ascii="宋体" w:cs="宋体"/>
          <w:color w:val="auto"/>
          <w:kern w:val="0"/>
          <w:szCs w:val="21"/>
          <w:highlight w:val="none"/>
        </w:rPr>
        <w:t>提供装订的</w:t>
      </w:r>
      <w:r>
        <w:rPr>
          <w:rFonts w:hint="eastAsia" w:ascii="宋体" w:cs="宋体"/>
          <w:b/>
          <w:color w:val="auto"/>
          <w:kern w:val="0"/>
          <w:szCs w:val="21"/>
          <w:highlight w:val="none"/>
        </w:rPr>
        <w:t>壹份“正本”、贰份“副本”、壹份“电子文档”（载体采用“电子光盘”或“U盘”，内容包含全套正本响应文件原件扫描件）。</w:t>
      </w:r>
      <w:r>
        <w:rPr>
          <w:rFonts w:hint="eastAsia" w:ascii="宋体" w:hAnsi="宋体" w:cs="宋体"/>
          <w:b/>
          <w:color w:val="auto"/>
          <w:szCs w:val="21"/>
          <w:highlight w:val="none"/>
        </w:rPr>
        <w:t>正本、副本、电子文档均应当密封，</w:t>
      </w:r>
      <w:r>
        <w:rPr>
          <w:rFonts w:hint="eastAsia" w:ascii="宋体" w:hAnsi="宋体" w:cs="宋体"/>
          <w:color w:val="auto"/>
          <w:szCs w:val="21"/>
          <w:highlight w:val="none"/>
        </w:rPr>
        <w:t>所有</w:t>
      </w:r>
      <w:r>
        <w:rPr>
          <w:rFonts w:ascii="宋体" w:hAnsi="宋体" w:cs="宋体"/>
          <w:color w:val="auto"/>
          <w:szCs w:val="21"/>
          <w:highlight w:val="none"/>
        </w:rPr>
        <w:t>封袋上</w:t>
      </w:r>
      <w:r>
        <w:rPr>
          <w:rFonts w:hint="eastAsia" w:ascii="宋体" w:hAnsi="宋体" w:cs="宋体"/>
          <w:color w:val="auto"/>
          <w:szCs w:val="21"/>
          <w:highlight w:val="none"/>
        </w:rPr>
        <w:t>都应写明供应商名称、项目名称、项目编号、年月日，加盖供应商公章。纸质版投标文件正本和副本如有不一致之处，以纸质版正本为准。</w:t>
      </w:r>
    </w:p>
    <w:p w14:paraId="385257EA">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3.供应商应保证所提供的上述资料的真实性和合法性。</w:t>
      </w:r>
    </w:p>
    <w:p w14:paraId="109A8867">
      <w:pPr>
        <w:spacing w:line="360" w:lineRule="exact"/>
        <w:ind w:firstLine="420" w:firstLineChars="200"/>
        <w:outlineLvl w:val="1"/>
        <w:rPr>
          <w:rFonts w:ascii="宋体" w:cs="Arial"/>
          <w:b/>
          <w:color w:val="auto"/>
          <w:szCs w:val="21"/>
          <w:highlight w:val="none"/>
        </w:rPr>
      </w:pPr>
      <w:r>
        <w:rPr>
          <w:rFonts w:hint="eastAsia" w:ascii="宋体" w:hAnsi="宋体" w:cs="宋体"/>
          <w:bCs/>
          <w:color w:val="auto"/>
          <w:kern w:val="0"/>
          <w:szCs w:val="21"/>
          <w:highlight w:val="none"/>
        </w:rPr>
        <w:t>4.供应商违反上述规定的，其响应文件将被作为无效响应文件，不予拆封和参加评审。</w:t>
      </w:r>
      <w:r>
        <w:rPr>
          <w:rFonts w:hint="eastAsia" w:ascii="宋体" w:hAnsi="宋体" w:cs="宋体"/>
          <w:b/>
          <w:color w:val="auto"/>
          <w:kern w:val="0"/>
          <w:szCs w:val="21"/>
          <w:highlight w:val="none"/>
        </w:rPr>
        <w:t>三、报价要求</w:t>
      </w:r>
    </w:p>
    <w:p w14:paraId="2D65D44A">
      <w:pPr>
        <w:tabs>
          <w:tab w:val="left" w:pos="284"/>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1.本项目报价为</w:t>
      </w:r>
      <w:r>
        <w:rPr>
          <w:rFonts w:hint="eastAsia" w:ascii="宋体" w:hAnsi="宋体" w:cs="宋体"/>
          <w:b/>
          <w:bCs/>
          <w:color w:val="auto"/>
          <w:szCs w:val="21"/>
          <w:highlight w:val="none"/>
          <w:u w:val="single"/>
        </w:rPr>
        <w:t>固定总价</w:t>
      </w:r>
      <w:r>
        <w:rPr>
          <w:rFonts w:hint="eastAsia" w:ascii="宋体" w:cs="Arial"/>
          <w:color w:val="auto"/>
          <w:szCs w:val="21"/>
          <w:highlight w:val="none"/>
        </w:rPr>
        <w:t>，</w:t>
      </w:r>
      <w:r>
        <w:rPr>
          <w:rFonts w:hint="eastAsia" w:ascii="宋体" w:hAnsi="宋体" w:cs="宋体"/>
          <w:bCs/>
          <w:color w:val="auto"/>
          <w:kern w:val="0"/>
          <w:szCs w:val="21"/>
          <w:highlight w:val="none"/>
        </w:rPr>
        <w:t>报价货币为人民币，评审时以人民币为准。</w:t>
      </w:r>
      <w:r>
        <w:rPr>
          <w:rFonts w:hint="eastAsia" w:ascii="宋体" w:hAnsi="宋体" w:cs="宋体"/>
          <w:color w:val="auto"/>
          <w:szCs w:val="21"/>
          <w:highlight w:val="none"/>
        </w:rPr>
        <w:t>报价应包括</w:t>
      </w:r>
      <w:r>
        <w:rPr>
          <w:rFonts w:hint="eastAsia" w:ascii="宋体" w:cs="Arial"/>
          <w:color w:val="auto"/>
          <w:szCs w:val="21"/>
          <w:highlight w:val="none"/>
        </w:rPr>
        <w:t>询价通知书</w:t>
      </w:r>
      <w:r>
        <w:rPr>
          <w:rFonts w:hint="eastAsia" w:ascii="宋体" w:hAnsi="宋体" w:cs="宋体"/>
          <w:color w:val="auto"/>
          <w:szCs w:val="21"/>
          <w:highlight w:val="none"/>
        </w:rPr>
        <w:t>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42A7F423">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b/>
          <w:color w:val="auto"/>
          <w:szCs w:val="21"/>
          <w:highlight w:val="none"/>
        </w:rPr>
        <w:t>本项目的最高限价为</w:t>
      </w:r>
      <w:r>
        <w:rPr>
          <w:rFonts w:hint="eastAsia" w:ascii="宋体" w:hAnsi="宋体" w:cs="宋体"/>
          <w:b/>
          <w:color w:val="auto"/>
          <w:szCs w:val="21"/>
          <w:highlight w:val="none"/>
          <w:lang w:eastAsia="zh-CN"/>
        </w:rPr>
        <w:t>9万</w:t>
      </w:r>
      <w:r>
        <w:rPr>
          <w:rFonts w:hint="eastAsia" w:ascii="宋体" w:hAnsi="宋体" w:cs="宋体"/>
          <w:b/>
          <w:color w:val="auto"/>
          <w:szCs w:val="21"/>
          <w:highlight w:val="none"/>
        </w:rPr>
        <w:t>，报价高于最高限价的作为无效响应处理。</w:t>
      </w:r>
    </w:p>
    <w:p w14:paraId="24DCFAC6">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3.供应商应按照询价通知书中提供的格式完整、正确填写报价一览表、报价明细表。报价明细表中的报价应与报价一览表的总价完全一致，如有不一致的，以报价一览表的报价为准。</w:t>
      </w:r>
    </w:p>
    <w:p w14:paraId="482C4B50">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4.培训服务费用报价：由各供应商根据企业自身情况自行决定是否单列。如供应商单列培训费用，则自行将询价通知书所提供的“报价明细表”格式扩展。</w:t>
      </w:r>
    </w:p>
    <w:p w14:paraId="4603F1A9">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5.供应商需对每部分报价包含的服务内容进行明确说明。如有特别承诺，也需明确说明。</w:t>
      </w:r>
    </w:p>
    <w:p w14:paraId="55674928">
      <w:pPr>
        <w:spacing w:line="360" w:lineRule="exact"/>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四、评审、定标方法</w:t>
      </w:r>
    </w:p>
    <w:p w14:paraId="1429C5A6">
      <w:pPr>
        <w:widowControl/>
        <w:snapToGrid w:val="0"/>
        <w:spacing w:line="3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4504E034">
      <w:pPr>
        <w:spacing w:line="360" w:lineRule="exact"/>
        <w:ind w:firstLine="420" w:firstLineChars="200"/>
        <w:rPr>
          <w:rFonts w:ascii="宋体" w:hAnsi="宋体" w:cs="宋体"/>
          <w:color w:val="auto"/>
          <w:szCs w:val="21"/>
          <w:highlight w:val="none"/>
        </w:rPr>
      </w:pPr>
      <w:r>
        <w:rPr>
          <w:rFonts w:ascii="宋体" w:hAnsi="宋体" w:cs="宋体"/>
          <w:color w:val="auto"/>
          <w:kern w:val="0"/>
          <w:szCs w:val="21"/>
          <w:highlight w:val="none"/>
        </w:rPr>
        <w:t>2.</w:t>
      </w:r>
      <w:r>
        <w:rPr>
          <w:rFonts w:hint="eastAsia" w:ascii="宋体" w:hAnsi="宋体" w:cs="宋体"/>
          <w:color w:val="auto"/>
          <w:szCs w:val="21"/>
          <w:highlight w:val="none"/>
        </w:rPr>
        <w:t>采购人授权询价小组直接确定成交供应商。</w:t>
      </w:r>
    </w:p>
    <w:p w14:paraId="4BD61643">
      <w:pPr>
        <w:spacing w:line="36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五、</w:t>
      </w:r>
      <w:r>
        <w:rPr>
          <w:rFonts w:hint="eastAsia" w:ascii="宋体" w:hAnsi="宋体" w:cs="宋体"/>
          <w:b/>
          <w:color w:val="auto"/>
          <w:szCs w:val="21"/>
          <w:highlight w:val="none"/>
        </w:rPr>
        <w:t>出现下列情形之一的，终止询价采购活动</w:t>
      </w:r>
    </w:p>
    <w:p w14:paraId="6D40251D">
      <w:pPr>
        <w:spacing w:line="360" w:lineRule="exact"/>
        <w:ind w:firstLine="420" w:firstLineChars="200"/>
        <w:outlineLvl w:val="1"/>
        <w:rPr>
          <w:rFonts w:ascii="宋体" w:hAnsi="宋体" w:cs="宋体"/>
          <w:bCs/>
          <w:color w:val="auto"/>
          <w:kern w:val="0"/>
          <w:szCs w:val="21"/>
          <w:highlight w:val="none"/>
        </w:rPr>
      </w:pPr>
      <w:r>
        <w:rPr>
          <w:rFonts w:hint="eastAsia" w:ascii="宋体" w:hAnsi="宋体" w:cs="宋体"/>
          <w:bCs/>
          <w:color w:val="auto"/>
          <w:kern w:val="0"/>
          <w:szCs w:val="21"/>
          <w:highlight w:val="none"/>
        </w:rPr>
        <w:t>1.因情况变化，不再符合规定的询价采购方式适用情形的；</w:t>
      </w:r>
    </w:p>
    <w:p w14:paraId="0F2EFFC9">
      <w:pPr>
        <w:spacing w:line="360" w:lineRule="exact"/>
        <w:ind w:firstLine="420" w:firstLineChars="200"/>
        <w:outlineLvl w:val="1"/>
        <w:rPr>
          <w:rFonts w:ascii="宋体" w:hAnsi="宋体" w:cs="宋体"/>
          <w:bCs/>
          <w:color w:val="auto"/>
          <w:kern w:val="0"/>
          <w:szCs w:val="21"/>
          <w:highlight w:val="none"/>
        </w:rPr>
      </w:pPr>
      <w:r>
        <w:rPr>
          <w:rFonts w:hint="eastAsia" w:ascii="宋体" w:hAnsi="宋体" w:cs="宋体"/>
          <w:bCs/>
          <w:color w:val="auto"/>
          <w:kern w:val="0"/>
          <w:szCs w:val="21"/>
          <w:highlight w:val="none"/>
        </w:rPr>
        <w:t>2.出现影响采购公正的违法、违规行为的；</w:t>
      </w:r>
    </w:p>
    <w:p w14:paraId="69146164">
      <w:pPr>
        <w:spacing w:line="360" w:lineRule="exact"/>
        <w:ind w:firstLine="420" w:firstLineChars="200"/>
        <w:outlineLvl w:val="1"/>
        <w:rPr>
          <w:rFonts w:ascii="宋体" w:hAnsi="宋体" w:cs="宋体"/>
          <w:bCs/>
          <w:color w:val="auto"/>
          <w:kern w:val="0"/>
          <w:szCs w:val="21"/>
          <w:highlight w:val="none"/>
        </w:rPr>
      </w:pPr>
      <w:r>
        <w:rPr>
          <w:rFonts w:hint="eastAsia" w:ascii="宋体" w:hAnsi="宋体" w:cs="宋体"/>
          <w:bCs/>
          <w:color w:val="auto"/>
          <w:kern w:val="0"/>
          <w:szCs w:val="21"/>
          <w:highlight w:val="none"/>
        </w:rPr>
        <w:t>3.在采购过程中符合竞争要求的供应商或者报价未超过采购预算或最高限价的供应商不足2家的。</w:t>
      </w:r>
    </w:p>
    <w:p w14:paraId="2AE13751">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六</w:t>
      </w:r>
      <w:r>
        <w:rPr>
          <w:rFonts w:ascii="宋体" w:hAnsi="宋体" w:cs="宋体"/>
          <w:b/>
          <w:color w:val="auto"/>
          <w:kern w:val="0"/>
          <w:szCs w:val="21"/>
          <w:highlight w:val="none"/>
        </w:rPr>
        <w:t>、</w:t>
      </w:r>
      <w:r>
        <w:rPr>
          <w:rFonts w:hint="eastAsia" w:ascii="宋体" w:hAnsi="宋体" w:cs="宋体"/>
          <w:b/>
          <w:color w:val="auto"/>
          <w:kern w:val="0"/>
          <w:szCs w:val="21"/>
          <w:highlight w:val="none"/>
        </w:rPr>
        <w:t>成交结果及公示</w:t>
      </w:r>
    </w:p>
    <w:p w14:paraId="1E7A850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代理机构将成交结果在</w:t>
      </w:r>
      <w:r>
        <w:rPr>
          <w:rFonts w:hint="eastAsia" w:ascii="宋体" w:hAnsi="宋体"/>
          <w:color w:val="auto"/>
          <w:szCs w:val="21"/>
          <w:highlight w:val="none"/>
        </w:rPr>
        <w:t>原公告媒体</w:t>
      </w:r>
      <w:r>
        <w:rPr>
          <w:rFonts w:hint="eastAsia" w:ascii="宋体" w:hAnsi="宋体" w:cs="宋体"/>
          <w:color w:val="auto"/>
          <w:szCs w:val="21"/>
          <w:highlight w:val="none"/>
        </w:rPr>
        <w:t>上予以公告。公告期限为自公告发布之日起1个工作日。</w:t>
      </w:r>
    </w:p>
    <w:p w14:paraId="3775B5F6">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七、成交通知书</w:t>
      </w:r>
    </w:p>
    <w:p w14:paraId="6DA934CD">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成交结果确定后，代理机构将向成交供应商发出成交通知书。</w:t>
      </w:r>
    </w:p>
    <w:p w14:paraId="5291CC2E">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成交通知对采购人和成交供应商具有法律约束力。成交通知书发出后，采购人改变成交结果或者成交单位供应商放弃成交资格，均应当承担相应的法律责任，且不影响成交服务费的支付。</w:t>
      </w:r>
    </w:p>
    <w:p w14:paraId="213C6E4B">
      <w:pPr>
        <w:ind w:firstLine="420" w:firstLineChars="200"/>
        <w:outlineLvl w:val="1"/>
        <w:rPr>
          <w:rFonts w:ascii="宋体" w:hAnsi="宋体" w:cs="宋体"/>
          <w:bCs/>
          <w:color w:val="auto"/>
          <w:kern w:val="0"/>
          <w:szCs w:val="21"/>
          <w:highlight w:val="none"/>
        </w:rPr>
      </w:pPr>
      <w:r>
        <w:rPr>
          <w:rFonts w:hint="eastAsia" w:ascii="宋体" w:hAnsi="宋体" w:cs="宋体"/>
          <w:bCs/>
          <w:color w:val="auto"/>
          <w:kern w:val="0"/>
          <w:szCs w:val="21"/>
          <w:highlight w:val="none"/>
        </w:rPr>
        <w:t>3.采购人及代理机构对未成交供应商不承担解释未成交原因的义务。</w:t>
      </w:r>
    </w:p>
    <w:p w14:paraId="6B194C67">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八、代理机构服务费</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0"/>
        <w:gridCol w:w="3721"/>
      </w:tblGrid>
      <w:tr w14:paraId="7AB5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2BB3FD9D">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中标金额</w:t>
            </w:r>
          </w:p>
        </w:tc>
        <w:tc>
          <w:tcPr>
            <w:tcW w:w="2183" w:type="pct"/>
            <w:vAlign w:val="center"/>
          </w:tcPr>
          <w:p w14:paraId="2A5C87A9">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服务费金额</w:t>
            </w:r>
          </w:p>
        </w:tc>
      </w:tr>
      <w:tr w14:paraId="1445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04C31FC5">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10万元（不含）以下</w:t>
            </w:r>
          </w:p>
        </w:tc>
        <w:tc>
          <w:tcPr>
            <w:tcW w:w="2183" w:type="pct"/>
          </w:tcPr>
          <w:p w14:paraId="566D46CB">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1000</w:t>
            </w:r>
            <w:r>
              <w:rPr>
                <w:rFonts w:hint="eastAsia" w:asciiTheme="minorEastAsia" w:hAnsiTheme="minorEastAsia" w:eastAsiaTheme="minorEastAsia" w:cstheme="minorEastAsia"/>
                <w:bCs/>
                <w:color w:val="auto"/>
                <w:szCs w:val="21"/>
                <w:highlight w:val="none"/>
              </w:rPr>
              <w:t>元</w:t>
            </w:r>
          </w:p>
        </w:tc>
      </w:tr>
      <w:tr w14:paraId="5F24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5B2439C0">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10万元（含）至20万元（不含）</w:t>
            </w:r>
          </w:p>
        </w:tc>
        <w:tc>
          <w:tcPr>
            <w:tcW w:w="2183" w:type="pct"/>
          </w:tcPr>
          <w:p w14:paraId="2C2BF7E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1500</w:t>
            </w:r>
            <w:r>
              <w:rPr>
                <w:rFonts w:hint="eastAsia" w:asciiTheme="minorEastAsia" w:hAnsiTheme="minorEastAsia" w:eastAsiaTheme="minorEastAsia" w:cstheme="minorEastAsia"/>
                <w:bCs/>
                <w:color w:val="auto"/>
                <w:szCs w:val="21"/>
                <w:highlight w:val="none"/>
              </w:rPr>
              <w:t>元</w:t>
            </w:r>
          </w:p>
        </w:tc>
      </w:tr>
      <w:tr w14:paraId="0D27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C1762B9">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20万元（含）至30万元（不含）</w:t>
            </w:r>
          </w:p>
        </w:tc>
        <w:tc>
          <w:tcPr>
            <w:tcW w:w="2183" w:type="pct"/>
          </w:tcPr>
          <w:p w14:paraId="481CE6E9">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2000</w:t>
            </w:r>
            <w:r>
              <w:rPr>
                <w:rFonts w:hint="eastAsia" w:asciiTheme="minorEastAsia" w:hAnsiTheme="minorEastAsia" w:eastAsiaTheme="minorEastAsia" w:cstheme="minorEastAsia"/>
                <w:bCs/>
                <w:color w:val="auto"/>
                <w:szCs w:val="21"/>
                <w:highlight w:val="none"/>
              </w:rPr>
              <w:t>元</w:t>
            </w:r>
          </w:p>
        </w:tc>
      </w:tr>
    </w:tbl>
    <w:p w14:paraId="604CBFC6">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服务费按照上述标准收取并</w:t>
      </w:r>
      <w:r>
        <w:rPr>
          <w:rFonts w:ascii="宋体" w:hAnsi="宋体" w:cs="宋体"/>
          <w:b/>
          <w:color w:val="auto"/>
          <w:szCs w:val="21"/>
          <w:highlight w:val="none"/>
        </w:rPr>
        <w:t>由成交供应商承担</w:t>
      </w:r>
      <w:r>
        <w:rPr>
          <w:rFonts w:hint="eastAsia" w:ascii="宋体" w:hAnsi="宋体" w:cs="宋体"/>
          <w:b/>
          <w:color w:val="auto"/>
          <w:szCs w:val="21"/>
          <w:highlight w:val="none"/>
        </w:rPr>
        <w:t>，成交供应商应在领取成交通知书时将代理机构服务费付至常州市城投建设工程招标有限公司账户。</w:t>
      </w:r>
    </w:p>
    <w:p w14:paraId="3DC7638D">
      <w:pPr>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收款单位：常州市城投建设工程招标有限公司</w:t>
      </w:r>
    </w:p>
    <w:p w14:paraId="4BC492FE">
      <w:pPr>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开户银行：中国建设银行常州大成苑支行</w:t>
      </w:r>
    </w:p>
    <w:p w14:paraId="491F3D7D">
      <w:pPr>
        <w:spacing w:line="360" w:lineRule="exact"/>
        <w:ind w:firstLine="420" w:firstLineChars="200"/>
        <w:jc w:val="left"/>
        <w:rPr>
          <w:rFonts w:ascii="宋体" w:hAnsi="宋体" w:cs="宋体"/>
          <w:b/>
          <w:color w:val="auto"/>
          <w:szCs w:val="21"/>
          <w:highlight w:val="none"/>
        </w:rPr>
      </w:pPr>
      <w:r>
        <w:rPr>
          <w:rFonts w:hint="eastAsia" w:ascii="宋体" w:hAnsi="宋体" w:cs="宋体"/>
          <w:bCs/>
          <w:color w:val="auto"/>
          <w:szCs w:val="21"/>
          <w:highlight w:val="none"/>
        </w:rPr>
        <w:t>银行账号：32001624236052500905</w:t>
      </w:r>
      <w:r>
        <w:rPr>
          <w:rFonts w:ascii="宋体" w:hAnsi="宋体" w:cs="宋体"/>
          <w:b/>
          <w:color w:val="auto"/>
          <w:szCs w:val="21"/>
          <w:highlight w:val="none"/>
        </w:rPr>
        <mc:AlternateContent>
          <mc:Choice Requires="wps">
            <w:drawing>
              <wp:anchor distT="0" distB="0" distL="114300" distR="114300" simplePos="0" relativeHeight="251662336"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4144;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54069DB6">
      <w:pPr>
        <w:spacing w:line="360" w:lineRule="exact"/>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十、合同签订</w:t>
      </w:r>
    </w:p>
    <w:p w14:paraId="0D5A37EC">
      <w:pPr>
        <w:spacing w:line="360" w:lineRule="exact"/>
        <w:ind w:firstLine="420" w:firstLineChars="200"/>
        <w:outlineLvl w:val="1"/>
        <w:rPr>
          <w:rFonts w:ascii="宋体" w:hAnsi="宋体" w:cs="宋体"/>
          <w:bCs/>
          <w:color w:val="auto"/>
          <w:kern w:val="0"/>
          <w:szCs w:val="21"/>
          <w:highlight w:val="none"/>
        </w:rPr>
      </w:pPr>
      <w:r>
        <w:rPr>
          <w:rFonts w:hint="eastAsia" w:ascii="宋体" w:hAnsi="宋体" w:cs="宋体"/>
          <w:bCs/>
          <w:color w:val="auto"/>
          <w:kern w:val="0"/>
          <w:szCs w:val="21"/>
          <w:highlight w:val="none"/>
        </w:rPr>
        <w:t>1.成交供应商应当在成交通知书发出之日起30日内与采购人签订采购合同。</w:t>
      </w:r>
    </w:p>
    <w:p w14:paraId="620CA341">
      <w:pPr>
        <w:spacing w:line="360" w:lineRule="exact"/>
        <w:ind w:firstLine="420" w:firstLineChars="200"/>
        <w:outlineLvl w:val="1"/>
        <w:rPr>
          <w:rFonts w:ascii="宋体" w:hAnsi="宋体" w:cs="宋体"/>
          <w:bCs/>
          <w:color w:val="auto"/>
          <w:kern w:val="0"/>
          <w:szCs w:val="21"/>
          <w:highlight w:val="none"/>
        </w:rPr>
      </w:pPr>
      <w:r>
        <w:rPr>
          <w:rFonts w:hint="eastAsia" w:ascii="宋体" w:hAnsi="宋体" w:cs="宋体"/>
          <w:bCs/>
          <w:color w:val="auto"/>
          <w:kern w:val="0"/>
          <w:szCs w:val="21"/>
          <w:highlight w:val="none"/>
        </w:rPr>
        <w:t>2.询价通知书、供应商的询价响应文件及询价过程中有关澄清、承诺文件均作为合同附件。</w:t>
      </w:r>
    </w:p>
    <w:p w14:paraId="48060226">
      <w:pPr>
        <w:spacing w:line="360" w:lineRule="exact"/>
        <w:ind w:firstLine="420" w:firstLineChars="200"/>
        <w:outlineLvl w:val="1"/>
        <w:rPr>
          <w:rFonts w:ascii="宋体" w:hAnsi="宋体" w:cs="宋体"/>
          <w:bCs/>
          <w:color w:val="auto"/>
          <w:kern w:val="0"/>
          <w:szCs w:val="21"/>
          <w:highlight w:val="none"/>
        </w:rPr>
      </w:pPr>
      <w:r>
        <w:rPr>
          <w:rFonts w:hint="eastAsia" w:ascii="宋体" w:hAnsi="宋体" w:cs="宋体"/>
          <w:bCs/>
          <w:color w:val="auto"/>
          <w:kern w:val="0"/>
          <w:szCs w:val="21"/>
          <w:highlight w:val="none"/>
        </w:rPr>
        <w:t>3.合同履行中，采购人需追加与合同标的相同的货物或服务的，在不改变合同其他条款的前提下，可以与成交供应商协商签订补充合同，但所有补充合同的采购金额不超过原合同金额10%。</w:t>
      </w:r>
    </w:p>
    <w:p w14:paraId="3238CFE7">
      <w:pPr>
        <w:spacing w:line="360" w:lineRule="exact"/>
        <w:ind w:firstLine="420" w:firstLineChars="200"/>
        <w:outlineLvl w:val="1"/>
        <w:rPr>
          <w:rFonts w:ascii="宋体" w:hAnsi="宋体" w:cs="宋体"/>
          <w:bCs/>
          <w:color w:val="auto"/>
          <w:kern w:val="0"/>
          <w:szCs w:val="21"/>
          <w:highlight w:val="none"/>
        </w:rPr>
      </w:pPr>
      <w:r>
        <w:rPr>
          <w:rFonts w:hint="eastAsia" w:ascii="宋体" w:hAnsi="宋体" w:cs="宋体"/>
          <w:bCs/>
          <w:color w:val="auto"/>
          <w:kern w:val="0"/>
          <w:szCs w:val="21"/>
          <w:highlight w:val="none"/>
        </w:rPr>
        <w:t>4.成交供应商因不可抗力导致无法按期签订合同的，应当在不可抗力发生之日起2日内提出，并提供书面证据，采购人及成交供应商互不承担任何责任及损失。如成交供应商无正当理由未按期签订合同的，视为自动放弃成交资格，并承担违约责任，采购人可以与排位在成交供应商之后第一位的候选人签订合同或重新委托进行采购。</w:t>
      </w:r>
    </w:p>
    <w:p w14:paraId="731FD650">
      <w:pPr>
        <w:ind w:firstLine="422" w:firstLineChars="200"/>
        <w:rPr>
          <w:rFonts w:ascii="宋体" w:hAnsi="宋体" w:cs="宋体"/>
          <w:b/>
          <w:color w:val="auto"/>
          <w:sz w:val="30"/>
          <w:szCs w:val="30"/>
          <w:highlight w:val="none"/>
        </w:rPr>
      </w:pPr>
      <w:r>
        <w:rPr>
          <w:rFonts w:hint="eastAsia" w:ascii="宋体" w:hAnsi="宋体" w:cs="宋体"/>
          <w:b/>
          <w:color w:val="auto"/>
          <w:kern w:val="0"/>
          <w:szCs w:val="21"/>
          <w:highlight w:val="none"/>
        </w:rPr>
        <w:t>十一、合同主要条款</w:t>
      </w:r>
    </w:p>
    <w:p w14:paraId="3289C763">
      <w:pPr>
        <w:pStyle w:val="11"/>
        <w:spacing w:line="400" w:lineRule="exact"/>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b/>
          <w:color w:val="auto"/>
          <w:sz w:val="21"/>
          <w:szCs w:val="21"/>
          <w:highlight w:val="none"/>
          <w:lang w:val="zh-CN"/>
        </w:rPr>
        <w:t>招标人</w:t>
      </w:r>
      <w:r>
        <w:rPr>
          <w:rFonts w:cs="宋体" w:asciiTheme="majorEastAsia" w:hAnsiTheme="majorEastAsia" w:eastAsiaTheme="majorEastAsia"/>
          <w:b/>
          <w:color w:val="auto"/>
          <w:sz w:val="21"/>
          <w:szCs w:val="21"/>
          <w:highlight w:val="none"/>
          <w:lang w:val="zh-CN"/>
        </w:rPr>
        <w:t>（</w:t>
      </w:r>
      <w:r>
        <w:rPr>
          <w:rFonts w:hint="eastAsia" w:cs="宋体" w:asciiTheme="majorEastAsia" w:hAnsiTheme="majorEastAsia" w:eastAsiaTheme="majorEastAsia"/>
          <w:b/>
          <w:color w:val="auto"/>
          <w:sz w:val="21"/>
          <w:szCs w:val="21"/>
          <w:highlight w:val="none"/>
          <w:lang w:val="zh-CN"/>
        </w:rPr>
        <w:t>以下</w:t>
      </w:r>
      <w:r>
        <w:rPr>
          <w:rFonts w:cs="宋体" w:asciiTheme="majorEastAsia" w:hAnsiTheme="majorEastAsia" w:eastAsiaTheme="majorEastAsia"/>
          <w:b/>
          <w:color w:val="auto"/>
          <w:sz w:val="21"/>
          <w:szCs w:val="21"/>
          <w:highlight w:val="none"/>
          <w:lang w:val="zh-CN"/>
        </w:rPr>
        <w:t>称</w:t>
      </w:r>
      <w:r>
        <w:rPr>
          <w:rFonts w:hint="eastAsia" w:cs="宋体" w:asciiTheme="majorEastAsia" w:hAnsiTheme="majorEastAsia" w:eastAsiaTheme="majorEastAsia"/>
          <w:b/>
          <w:color w:val="auto"/>
          <w:sz w:val="21"/>
          <w:szCs w:val="21"/>
          <w:highlight w:val="none"/>
          <w:lang w:val="zh-CN"/>
        </w:rPr>
        <w:t>甲</w:t>
      </w:r>
      <w:r>
        <w:rPr>
          <w:rFonts w:hint="eastAsia" w:cs="宋体" w:asciiTheme="majorEastAsia" w:hAnsiTheme="majorEastAsia" w:eastAsiaTheme="majorEastAsia"/>
          <w:b/>
          <w:color w:val="auto"/>
          <w:sz w:val="21"/>
          <w:szCs w:val="21"/>
          <w:highlight w:val="none"/>
        </w:rPr>
        <w:t xml:space="preserve">方）: </w:t>
      </w:r>
      <w:r>
        <w:rPr>
          <w:rFonts w:cs="宋体" w:asciiTheme="majorEastAsia" w:hAnsiTheme="majorEastAsia" w:eastAsiaTheme="majorEastAsia"/>
          <w:b/>
          <w:color w:val="auto"/>
          <w:sz w:val="21"/>
          <w:szCs w:val="21"/>
          <w:highlight w:val="none"/>
        </w:rPr>
        <w:t xml:space="preserve">                      </w:t>
      </w:r>
      <w:r>
        <w:rPr>
          <w:rFonts w:hint="eastAsia" w:cs="宋体" w:asciiTheme="majorEastAsia" w:hAnsiTheme="majorEastAsia" w:eastAsiaTheme="majorEastAsia"/>
          <w:b/>
          <w:color w:val="auto"/>
          <w:sz w:val="21"/>
          <w:szCs w:val="21"/>
          <w:highlight w:val="none"/>
        </w:rPr>
        <w:t xml:space="preserve">  </w:t>
      </w:r>
      <w:r>
        <w:rPr>
          <w:rFonts w:hint="eastAsia" w:cs="宋体" w:asciiTheme="majorEastAsia" w:hAnsiTheme="majorEastAsia" w:eastAsiaTheme="majorEastAsia"/>
          <w:color w:val="auto"/>
          <w:sz w:val="21"/>
          <w:szCs w:val="21"/>
          <w:highlight w:val="none"/>
        </w:rPr>
        <w:t>合同编号：</w:t>
      </w:r>
    </w:p>
    <w:p w14:paraId="768F5860">
      <w:pPr>
        <w:pStyle w:val="11"/>
        <w:spacing w:line="400" w:lineRule="exact"/>
        <w:rPr>
          <w:rFonts w:cs="宋体" w:asciiTheme="majorEastAsia" w:hAnsiTheme="majorEastAsia" w:eastAsiaTheme="majorEastAsia"/>
          <w:color w:val="auto"/>
          <w:sz w:val="21"/>
          <w:szCs w:val="21"/>
          <w:highlight w:val="none"/>
          <w:u w:val="single"/>
        </w:rPr>
      </w:pPr>
      <w:r>
        <w:rPr>
          <w:rFonts w:hint="eastAsia" w:cs="宋体" w:asciiTheme="majorEastAsia" w:hAnsiTheme="majorEastAsia" w:eastAsiaTheme="majorEastAsia"/>
          <w:b/>
          <w:color w:val="auto"/>
          <w:sz w:val="21"/>
          <w:szCs w:val="21"/>
          <w:highlight w:val="none"/>
        </w:rPr>
        <w:t>投标人</w:t>
      </w:r>
      <w:r>
        <w:rPr>
          <w:rFonts w:cs="宋体" w:asciiTheme="majorEastAsia" w:hAnsiTheme="majorEastAsia" w:eastAsiaTheme="majorEastAsia"/>
          <w:b/>
          <w:color w:val="auto"/>
          <w:sz w:val="21"/>
          <w:szCs w:val="21"/>
          <w:highlight w:val="none"/>
        </w:rPr>
        <w:t>（</w:t>
      </w:r>
      <w:r>
        <w:rPr>
          <w:rFonts w:hint="eastAsia" w:cs="宋体" w:asciiTheme="majorEastAsia" w:hAnsiTheme="majorEastAsia" w:eastAsiaTheme="majorEastAsia"/>
          <w:b/>
          <w:color w:val="auto"/>
          <w:sz w:val="21"/>
          <w:szCs w:val="21"/>
          <w:highlight w:val="none"/>
          <w:lang w:val="zh-CN"/>
        </w:rPr>
        <w:t>以下</w:t>
      </w:r>
      <w:r>
        <w:rPr>
          <w:rFonts w:cs="宋体" w:asciiTheme="majorEastAsia" w:hAnsiTheme="majorEastAsia" w:eastAsiaTheme="majorEastAsia"/>
          <w:b/>
          <w:color w:val="auto"/>
          <w:sz w:val="21"/>
          <w:szCs w:val="21"/>
          <w:highlight w:val="none"/>
          <w:lang w:val="zh-CN"/>
        </w:rPr>
        <w:t>称</w:t>
      </w:r>
      <w:r>
        <w:rPr>
          <w:rFonts w:hint="eastAsia" w:cs="宋体" w:asciiTheme="majorEastAsia" w:hAnsiTheme="majorEastAsia" w:eastAsiaTheme="majorEastAsia"/>
          <w:b/>
          <w:color w:val="auto"/>
          <w:sz w:val="21"/>
          <w:szCs w:val="21"/>
          <w:highlight w:val="none"/>
        </w:rPr>
        <w:t>乙方</w:t>
      </w:r>
      <w:r>
        <w:rPr>
          <w:rFonts w:cs="宋体" w:asciiTheme="majorEastAsia" w:hAnsiTheme="majorEastAsia" w:eastAsiaTheme="majorEastAsia"/>
          <w:b/>
          <w:color w:val="auto"/>
          <w:sz w:val="21"/>
          <w:szCs w:val="21"/>
          <w:highlight w:val="none"/>
        </w:rPr>
        <w:t>）</w:t>
      </w:r>
      <w:r>
        <w:rPr>
          <w:rFonts w:hint="eastAsia" w:cs="宋体" w:asciiTheme="majorEastAsia" w:hAnsiTheme="majorEastAsia" w:eastAsiaTheme="majorEastAsia"/>
          <w:b/>
          <w:color w:val="auto"/>
          <w:sz w:val="21"/>
          <w:szCs w:val="21"/>
          <w:highlight w:val="none"/>
        </w:rPr>
        <w:t xml:space="preserve">: </w:t>
      </w:r>
      <w:r>
        <w:rPr>
          <w:rFonts w:cs="宋体" w:asciiTheme="majorEastAsia" w:hAnsiTheme="majorEastAsia" w:eastAsiaTheme="majorEastAsia"/>
          <w:b/>
          <w:color w:val="auto"/>
          <w:sz w:val="21"/>
          <w:szCs w:val="21"/>
          <w:highlight w:val="none"/>
        </w:rPr>
        <w:t xml:space="preserve">                      </w:t>
      </w:r>
      <w:r>
        <w:rPr>
          <w:rFonts w:hint="eastAsia" w:cs="宋体" w:asciiTheme="majorEastAsia" w:hAnsiTheme="majorEastAsia" w:eastAsiaTheme="majorEastAsia"/>
          <w:b/>
          <w:color w:val="auto"/>
          <w:sz w:val="21"/>
          <w:szCs w:val="21"/>
          <w:highlight w:val="none"/>
        </w:rPr>
        <w:t xml:space="preserve">  </w:t>
      </w:r>
      <w:r>
        <w:rPr>
          <w:rFonts w:hint="eastAsia" w:cs="宋体" w:asciiTheme="majorEastAsia" w:hAnsiTheme="majorEastAsia" w:eastAsiaTheme="majorEastAsia"/>
          <w:color w:val="auto"/>
          <w:sz w:val="21"/>
          <w:szCs w:val="21"/>
          <w:highlight w:val="none"/>
        </w:rPr>
        <w:t>签订地点：</w:t>
      </w:r>
    </w:p>
    <w:p w14:paraId="0979A6AA">
      <w:pPr>
        <w:pStyle w:val="5"/>
        <w:spacing w:line="400" w:lineRule="exact"/>
        <w:ind w:firstLine="4830" w:firstLineChars="2300"/>
        <w:rPr>
          <w:rFonts w:cs="宋体" w:asciiTheme="majorEastAsia" w:hAnsiTheme="majorEastAsia" w:eastAsiaTheme="majorEastAsia"/>
          <w:b/>
          <w:color w:val="auto"/>
          <w:sz w:val="21"/>
          <w:szCs w:val="21"/>
          <w:highlight w:val="none"/>
        </w:rPr>
      </w:pPr>
      <w:r>
        <w:rPr>
          <w:rFonts w:hint="eastAsia" w:cs="宋体" w:asciiTheme="majorEastAsia" w:hAnsiTheme="majorEastAsia" w:eastAsiaTheme="majorEastAsia"/>
          <w:color w:val="auto"/>
          <w:sz w:val="21"/>
          <w:szCs w:val="21"/>
          <w:highlight w:val="none"/>
        </w:rPr>
        <w:t xml:space="preserve">合同时间: </w:t>
      </w:r>
      <w:r>
        <w:rPr>
          <w:rFonts w:hint="eastAsia" w:cs="宋体" w:asciiTheme="majorEastAsia" w:hAnsiTheme="majorEastAsia" w:eastAsiaTheme="majorEastAsia"/>
          <w:color w:val="auto"/>
          <w:sz w:val="21"/>
          <w:szCs w:val="21"/>
          <w:highlight w:val="none"/>
          <w:u w:val="single"/>
        </w:rPr>
        <w:t xml:space="preserve">    年   月   日</w:t>
      </w:r>
    </w:p>
    <w:p w14:paraId="2D3A1245">
      <w:pPr>
        <w:pStyle w:val="11"/>
        <w:spacing w:line="360" w:lineRule="exact"/>
        <w:ind w:firstLine="420" w:firstLineChars="200"/>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甲乙双方依据《中华人民共和国民法典》以及有关法律、法规的规定，经协商一致，订立本合同，以便共同遵守。</w:t>
      </w:r>
    </w:p>
    <w:p w14:paraId="36544509">
      <w:pPr>
        <w:pStyle w:val="11"/>
        <w:spacing w:line="360" w:lineRule="exact"/>
        <w:ind w:firstLine="422" w:firstLineChars="200"/>
        <w:rPr>
          <w:rFonts w:cs="宋体" w:asciiTheme="majorEastAsia" w:hAnsiTheme="majorEastAsia" w:eastAsiaTheme="majorEastAsia"/>
          <w:b/>
          <w:color w:val="auto"/>
          <w:sz w:val="21"/>
          <w:szCs w:val="21"/>
          <w:highlight w:val="none"/>
        </w:rPr>
      </w:pPr>
      <w:r>
        <w:rPr>
          <w:rFonts w:hint="eastAsia" w:cs="宋体" w:asciiTheme="majorEastAsia" w:hAnsiTheme="majorEastAsia" w:eastAsiaTheme="majorEastAsia"/>
          <w:b/>
          <w:color w:val="auto"/>
          <w:sz w:val="21"/>
          <w:szCs w:val="21"/>
          <w:highlight w:val="none"/>
        </w:rPr>
        <w:t>第一条 合同标的</w:t>
      </w:r>
    </w:p>
    <w:p w14:paraId="10D94C3D">
      <w:pPr>
        <w:widowControl/>
        <w:adjustRightInd w:val="0"/>
        <w:spacing w:line="360" w:lineRule="exact"/>
        <w:ind w:firstLine="420" w:firstLineChars="200"/>
        <w:jc w:val="left"/>
        <w:rPr>
          <w:rFonts w:cs="宋体" w:asciiTheme="majorEastAsia" w:hAnsiTheme="majorEastAsia" w:eastAsiaTheme="majorEastAsia"/>
          <w:color w:val="auto"/>
          <w:kern w:val="0"/>
          <w:szCs w:val="21"/>
          <w:highlight w:val="none"/>
          <w:lang w:val="zh-CN"/>
        </w:rPr>
      </w:pPr>
      <w:r>
        <w:rPr>
          <w:rFonts w:hint="eastAsia" w:cs="宋体" w:asciiTheme="majorEastAsia" w:hAnsiTheme="majorEastAsia" w:eastAsiaTheme="majorEastAsia"/>
          <w:color w:val="auto"/>
          <w:kern w:val="0"/>
          <w:szCs w:val="21"/>
          <w:highlight w:val="none"/>
          <w:lang w:val="zh-CN"/>
        </w:rPr>
        <w:t>乙方根据甲方需求提供下列服务：         ，</w:t>
      </w:r>
      <w:r>
        <w:rPr>
          <w:rFonts w:hint="eastAsia" w:asciiTheme="majorEastAsia" w:hAnsiTheme="majorEastAsia" w:eastAsiaTheme="majorEastAsia"/>
          <w:color w:val="auto"/>
          <w:szCs w:val="21"/>
          <w:highlight w:val="none"/>
        </w:rPr>
        <w:t>系指根据合同规定乙方须承担与服务有关的所有辅助服务</w:t>
      </w:r>
      <w:r>
        <w:rPr>
          <w:rFonts w:hint="eastAsia" w:cs="宋体" w:asciiTheme="majorEastAsia" w:hAnsiTheme="majorEastAsia" w:eastAsiaTheme="majorEastAsia"/>
          <w:color w:val="auto"/>
          <w:kern w:val="0"/>
          <w:szCs w:val="21"/>
          <w:highlight w:val="none"/>
          <w:lang w:val="zh-CN"/>
        </w:rPr>
        <w:t>。</w:t>
      </w:r>
    </w:p>
    <w:p w14:paraId="13985892">
      <w:pPr>
        <w:pStyle w:val="11"/>
        <w:spacing w:line="360" w:lineRule="exact"/>
        <w:ind w:firstLine="422" w:firstLineChars="200"/>
        <w:rPr>
          <w:rFonts w:cs="宋体" w:asciiTheme="majorEastAsia" w:hAnsiTheme="majorEastAsia" w:eastAsiaTheme="majorEastAsia"/>
          <w:b/>
          <w:color w:val="auto"/>
          <w:sz w:val="21"/>
          <w:szCs w:val="21"/>
          <w:highlight w:val="none"/>
        </w:rPr>
      </w:pPr>
      <w:r>
        <w:rPr>
          <w:rFonts w:hint="eastAsia" w:cs="宋体" w:asciiTheme="majorEastAsia" w:hAnsiTheme="majorEastAsia" w:eastAsiaTheme="majorEastAsia"/>
          <w:b/>
          <w:color w:val="auto"/>
          <w:sz w:val="21"/>
          <w:szCs w:val="21"/>
          <w:highlight w:val="none"/>
        </w:rPr>
        <w:t>第二条 合同价格</w:t>
      </w:r>
    </w:p>
    <w:p w14:paraId="617BB27D">
      <w:pPr>
        <w:pStyle w:val="11"/>
        <w:spacing w:line="360" w:lineRule="exact"/>
        <w:ind w:firstLine="422" w:firstLineChars="200"/>
        <w:jc w:val="left"/>
        <w:rPr>
          <w:rFonts w:cs="宋体" w:asciiTheme="majorEastAsia" w:hAnsiTheme="majorEastAsia" w:eastAsiaTheme="majorEastAsia"/>
          <w:b/>
          <w:color w:val="auto"/>
          <w:sz w:val="21"/>
          <w:szCs w:val="21"/>
          <w:highlight w:val="none"/>
        </w:rPr>
      </w:pPr>
      <w:r>
        <w:rPr>
          <w:rFonts w:hint="eastAsia" w:cs="宋体" w:asciiTheme="majorEastAsia" w:hAnsiTheme="majorEastAsia" w:eastAsiaTheme="majorEastAsia"/>
          <w:b/>
          <w:color w:val="auto"/>
          <w:sz w:val="21"/>
          <w:szCs w:val="21"/>
          <w:highlight w:val="none"/>
        </w:rPr>
        <w:t>签约合同总价（人民币，下同）：</w:t>
      </w:r>
      <w:r>
        <w:rPr>
          <w:rFonts w:hint="eastAsia" w:cs="宋体" w:asciiTheme="majorEastAsia" w:hAnsiTheme="majorEastAsia" w:eastAsiaTheme="majorEastAsia"/>
          <w:b/>
          <w:color w:val="auto"/>
          <w:sz w:val="21"/>
          <w:szCs w:val="21"/>
          <w:highlight w:val="none"/>
          <w:u w:val="single"/>
        </w:rPr>
        <w:t xml:space="preserve">             元</w:t>
      </w:r>
      <w:r>
        <w:rPr>
          <w:rFonts w:hint="eastAsia" w:cs="宋体" w:asciiTheme="majorEastAsia" w:hAnsiTheme="majorEastAsia" w:eastAsiaTheme="majorEastAsia"/>
          <w:b/>
          <w:color w:val="auto"/>
          <w:sz w:val="21"/>
          <w:szCs w:val="21"/>
          <w:highlight w:val="none"/>
        </w:rPr>
        <w:t xml:space="preserve">（小写       ）。 </w:t>
      </w:r>
    </w:p>
    <w:p w14:paraId="7396259D">
      <w:pPr>
        <w:tabs>
          <w:tab w:val="left" w:pos="284"/>
        </w:tabs>
        <w:spacing w:line="360" w:lineRule="exact"/>
        <w:ind w:firstLine="420" w:firstLineChars="200"/>
        <w:rPr>
          <w:rFonts w:ascii="宋体" w:cs="Arial"/>
          <w:color w:val="auto"/>
          <w:szCs w:val="21"/>
          <w:highlight w:val="none"/>
        </w:rPr>
      </w:pPr>
      <w:r>
        <w:rPr>
          <w:rFonts w:hint="eastAsia" w:cs="宋体" w:asciiTheme="majorEastAsia" w:hAnsiTheme="majorEastAsia" w:eastAsiaTheme="majorEastAsia"/>
          <w:color w:val="auto"/>
          <w:szCs w:val="21"/>
          <w:highlight w:val="none"/>
        </w:rPr>
        <w:t>本合同总价包括</w:t>
      </w:r>
      <w:r>
        <w:rPr>
          <w:rFonts w:hint="eastAsia" w:ascii="宋体" w:cs="Arial"/>
          <w:color w:val="auto"/>
          <w:szCs w:val="21"/>
          <w:highlight w:val="none"/>
        </w:rPr>
        <w:t>询价通知书</w:t>
      </w:r>
      <w:r>
        <w:rPr>
          <w:rFonts w:hint="eastAsia" w:ascii="宋体" w:hAnsi="宋体" w:cs="宋体"/>
          <w:color w:val="auto"/>
          <w:szCs w:val="21"/>
          <w:highlight w:val="none"/>
        </w:rPr>
        <w:t>所确定的采购范围相应服务的提供、人员（包括工资和补贴）、办公场所及设施、保险、劳保、管理、各种税费、利润、税金、政策性文件规定及合同包含的所有风险、责任等各项应有费用，以及为完成该项服务项目所涉及到的一切相关费用，甲方不再支付其他任何费用。</w:t>
      </w:r>
    </w:p>
    <w:p w14:paraId="3850A2A8">
      <w:pPr>
        <w:pStyle w:val="11"/>
        <w:spacing w:line="360" w:lineRule="exact"/>
        <w:ind w:firstLine="420" w:firstLineChars="200"/>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本合同总价款还包含乙方应当提供的伴随服务/售后服务费用。</w:t>
      </w:r>
    </w:p>
    <w:p w14:paraId="68925EE2">
      <w:pPr>
        <w:pStyle w:val="11"/>
        <w:spacing w:line="360" w:lineRule="exact"/>
        <w:ind w:firstLine="422" w:firstLineChars="200"/>
        <w:rPr>
          <w:rFonts w:cs="宋体" w:asciiTheme="majorEastAsia" w:hAnsiTheme="majorEastAsia" w:eastAsiaTheme="majorEastAsia"/>
          <w:b/>
          <w:color w:val="auto"/>
          <w:sz w:val="21"/>
          <w:szCs w:val="21"/>
          <w:highlight w:val="none"/>
        </w:rPr>
      </w:pPr>
      <w:r>
        <w:rPr>
          <w:rFonts w:hint="eastAsia" w:cs="宋体" w:asciiTheme="majorEastAsia" w:hAnsiTheme="majorEastAsia" w:eastAsiaTheme="majorEastAsia"/>
          <w:b/>
          <w:color w:val="auto"/>
          <w:sz w:val="21"/>
          <w:szCs w:val="21"/>
          <w:highlight w:val="none"/>
        </w:rPr>
        <w:t>第三条 组成本合同的有关文件</w:t>
      </w:r>
    </w:p>
    <w:p w14:paraId="28070B77">
      <w:pPr>
        <w:pStyle w:val="11"/>
        <w:spacing w:line="360" w:lineRule="exact"/>
        <w:ind w:firstLine="420" w:firstLineChars="200"/>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下列与本次采购活动有关的文件及有关附件是本合同不可分割的组成部分，与本合同具有同等法律效力，这些文件包括但不限于：</w:t>
      </w:r>
    </w:p>
    <w:p w14:paraId="26340ABA">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（1）询价通知书（编号：   ）         </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 xml:space="preserve"> </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 xml:space="preserve">（2）乙方提供的询价响应文件； </w:t>
      </w:r>
    </w:p>
    <w:p w14:paraId="40D8F5DF">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 xml:space="preserve">）成交通知书；        </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）甲乙双方商定的其他文件等。</w:t>
      </w:r>
    </w:p>
    <w:p w14:paraId="75140E16">
      <w:pPr>
        <w:adjustRightInd w:val="0"/>
        <w:snapToGrid w:val="0"/>
        <w:spacing w:line="360" w:lineRule="exact"/>
        <w:ind w:firstLine="422" w:firstLineChars="200"/>
        <w:rPr>
          <w:rFonts w:asciiTheme="majorEastAsia" w:hAnsiTheme="majorEastAsia" w:eastAsiaTheme="majorEastAsia"/>
          <w:b/>
          <w:color w:val="auto"/>
          <w:szCs w:val="21"/>
          <w:highlight w:val="none"/>
        </w:rPr>
      </w:pPr>
      <w:r>
        <w:rPr>
          <w:rFonts w:hint="eastAsia" w:asciiTheme="majorEastAsia" w:hAnsiTheme="majorEastAsia" w:eastAsiaTheme="majorEastAsia"/>
          <w:b/>
          <w:color w:val="auto"/>
          <w:szCs w:val="21"/>
          <w:highlight w:val="none"/>
        </w:rPr>
        <w:t>第四条 合同款结算</w:t>
      </w:r>
      <w:r>
        <w:rPr>
          <w:rFonts w:asciiTheme="majorEastAsia" w:hAnsiTheme="majorEastAsia" w:eastAsiaTheme="majorEastAsia"/>
          <w:b/>
          <w:color w:val="auto"/>
          <w:szCs w:val="21"/>
          <w:highlight w:val="none"/>
        </w:rPr>
        <w:t>及</w:t>
      </w:r>
      <w:r>
        <w:rPr>
          <w:rFonts w:hint="eastAsia" w:asciiTheme="majorEastAsia" w:hAnsiTheme="majorEastAsia" w:eastAsiaTheme="majorEastAsia"/>
          <w:b/>
          <w:color w:val="auto"/>
          <w:szCs w:val="21"/>
          <w:highlight w:val="none"/>
        </w:rPr>
        <w:t>支付</w:t>
      </w:r>
    </w:p>
    <w:p w14:paraId="7369058E">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1.本合同项下所有款项均以人民币支付。</w:t>
      </w:r>
    </w:p>
    <w:p w14:paraId="6A453066">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2.本合同项下的采购资金由甲方自行支付，乙方向甲方开具发票。</w:t>
      </w:r>
    </w:p>
    <w:p w14:paraId="5C24588D">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3.结算</w:t>
      </w:r>
      <w:r>
        <w:rPr>
          <w:rFonts w:asciiTheme="majorEastAsia" w:hAnsiTheme="majorEastAsia" w:eastAsiaTheme="majorEastAsia"/>
          <w:color w:val="auto"/>
          <w:szCs w:val="21"/>
          <w:highlight w:val="none"/>
        </w:rPr>
        <w:t>原则：</w:t>
      </w:r>
      <w:r>
        <w:rPr>
          <w:rFonts w:hint="eastAsia" w:asciiTheme="majorEastAsia" w:hAnsiTheme="majorEastAsia" w:eastAsiaTheme="majorEastAsia"/>
          <w:color w:val="auto"/>
          <w:szCs w:val="21"/>
          <w:highlight w:val="none"/>
        </w:rPr>
        <w:t>固定总价</w:t>
      </w:r>
    </w:p>
    <w:p w14:paraId="6155CC0A">
      <w:pPr>
        <w:spacing w:line="360" w:lineRule="exact"/>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4.</w:t>
      </w:r>
      <w:r>
        <w:rPr>
          <w:rFonts w:hint="eastAsia" w:asciiTheme="majorEastAsia" w:hAnsiTheme="majorEastAsia" w:eastAsiaTheme="majorEastAsia"/>
          <w:color w:val="auto"/>
          <w:szCs w:val="21"/>
          <w:highlight w:val="none"/>
        </w:rPr>
        <w:t>付款方式：每月应付的合同价款=合同价/合同期内总月数×当月考核得分折合的百分比。三个月支付一次服务费。</w:t>
      </w:r>
    </w:p>
    <w:p w14:paraId="3B535533">
      <w:pPr>
        <w:spacing w:line="360" w:lineRule="exact"/>
        <w:ind w:firstLine="422" w:firstLineChars="200"/>
        <w:rPr>
          <w:rFonts w:asciiTheme="majorEastAsia" w:hAnsiTheme="majorEastAsia" w:eastAsiaTheme="majorEastAsia"/>
          <w:b/>
          <w:color w:val="auto"/>
          <w:szCs w:val="21"/>
          <w:highlight w:val="none"/>
        </w:rPr>
      </w:pPr>
      <w:r>
        <w:rPr>
          <w:rFonts w:hint="eastAsia" w:asciiTheme="majorEastAsia" w:hAnsiTheme="majorEastAsia" w:eastAsiaTheme="majorEastAsia"/>
          <w:b/>
          <w:color w:val="auto"/>
          <w:szCs w:val="21"/>
          <w:highlight w:val="none"/>
        </w:rPr>
        <w:t>第五条 违约责任</w:t>
      </w:r>
    </w:p>
    <w:p w14:paraId="68D6FADF">
      <w:pPr>
        <w:spacing w:line="360" w:lineRule="exact"/>
        <w:ind w:firstLine="420" w:firstLineChars="200"/>
        <w:rPr>
          <w:rFonts w:asciiTheme="majorEastAsia" w:hAnsiTheme="majorEastAsia" w:eastAsiaTheme="majorEastAsia"/>
          <w:color w:val="auto"/>
          <w:highlight w:val="none"/>
        </w:rPr>
      </w:pPr>
      <w:r>
        <w:rPr>
          <w:rFonts w:asciiTheme="majorEastAsia" w:hAnsiTheme="majorEastAsia" w:eastAsiaTheme="majorEastAsia"/>
          <w:color w:val="auto"/>
          <w:highlight w:val="none"/>
        </w:rPr>
        <w:t>1.</w:t>
      </w:r>
      <w:r>
        <w:rPr>
          <w:rFonts w:hint="eastAsia" w:asciiTheme="majorEastAsia" w:hAnsiTheme="majorEastAsia" w:eastAsiaTheme="majorEastAsia"/>
          <w:color w:val="auto"/>
          <w:highlight w:val="none"/>
        </w:rPr>
        <w:t>如乙方不能</w:t>
      </w:r>
      <w:r>
        <w:rPr>
          <w:rFonts w:hint="eastAsia" w:asciiTheme="majorEastAsia" w:hAnsiTheme="majorEastAsia" w:eastAsiaTheme="majorEastAsia"/>
          <w:color w:val="auto"/>
          <w:szCs w:val="21"/>
          <w:highlight w:val="none"/>
        </w:rPr>
        <w:t>按约定进行</w:t>
      </w:r>
      <w:r>
        <w:rPr>
          <w:rFonts w:asciiTheme="majorEastAsia" w:hAnsiTheme="majorEastAsia" w:eastAsiaTheme="majorEastAsia"/>
          <w:color w:val="auto"/>
          <w:szCs w:val="21"/>
          <w:highlight w:val="none"/>
        </w:rPr>
        <w:t>服务的</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highlight w:val="none"/>
        </w:rPr>
        <w:t>甲方有权解除合同，同时有权要求乙方按照合同总价</w:t>
      </w:r>
      <w:r>
        <w:rPr>
          <w:rFonts w:asciiTheme="majorEastAsia" w:hAnsiTheme="majorEastAsia" w:eastAsiaTheme="majorEastAsia"/>
          <w:color w:val="auto"/>
          <w:highlight w:val="none"/>
        </w:rPr>
        <w:t>5%</w:t>
      </w:r>
      <w:r>
        <w:rPr>
          <w:rFonts w:hint="eastAsia" w:asciiTheme="majorEastAsia" w:hAnsiTheme="majorEastAsia" w:eastAsiaTheme="majorEastAsia"/>
          <w:color w:val="auto"/>
          <w:highlight w:val="none"/>
        </w:rPr>
        <w:t>的标准支付违约金，解除合同的通知自发出之日生效。</w:t>
      </w:r>
    </w:p>
    <w:p w14:paraId="4C018DD1">
      <w:pPr>
        <w:spacing w:line="360" w:lineRule="exact"/>
        <w:ind w:firstLine="420" w:firstLineChars="200"/>
        <w:rPr>
          <w:rFonts w:asciiTheme="majorEastAsia" w:hAnsiTheme="majorEastAsia" w:eastAsiaTheme="majorEastAsia"/>
          <w:color w:val="auto"/>
          <w:highlight w:val="none"/>
        </w:rPr>
      </w:pPr>
      <w:r>
        <w:rPr>
          <w:rFonts w:asciiTheme="majorEastAsia" w:hAnsiTheme="majorEastAsia" w:eastAsiaTheme="majorEastAsia"/>
          <w:color w:val="auto"/>
          <w:highlight w:val="none"/>
        </w:rPr>
        <w:t>2.</w:t>
      </w:r>
      <w:r>
        <w:rPr>
          <w:rFonts w:hint="eastAsia" w:asciiTheme="majorEastAsia" w:hAnsiTheme="majorEastAsia" w:eastAsiaTheme="majorEastAsia"/>
          <w:color w:val="auto"/>
          <w:highlight w:val="none"/>
        </w:rPr>
        <w:t>甲方未按合同规定的期限向乙方支付货款的，每逾期</w:t>
      </w:r>
      <w:r>
        <w:rPr>
          <w:rFonts w:asciiTheme="majorEastAsia" w:hAnsiTheme="majorEastAsia" w:eastAsiaTheme="majorEastAsia"/>
          <w:color w:val="auto"/>
          <w:highlight w:val="none"/>
        </w:rPr>
        <w:t>1</w:t>
      </w:r>
      <w:r>
        <w:rPr>
          <w:rFonts w:hint="eastAsia" w:asciiTheme="majorEastAsia" w:hAnsiTheme="majorEastAsia" w:eastAsiaTheme="majorEastAsia"/>
          <w:color w:val="auto"/>
          <w:highlight w:val="none"/>
        </w:rPr>
        <w:t>天甲方向乙方偿付欠款总额的</w:t>
      </w:r>
      <w:r>
        <w:rPr>
          <w:rFonts w:asciiTheme="majorEastAsia" w:hAnsiTheme="majorEastAsia" w:eastAsiaTheme="majorEastAsia"/>
          <w:color w:val="auto"/>
          <w:highlight w:val="none"/>
        </w:rPr>
        <w:t>5</w:t>
      </w:r>
      <w:r>
        <w:rPr>
          <w:rFonts w:hint="eastAsia" w:asciiTheme="majorEastAsia" w:hAnsiTheme="majorEastAsia" w:eastAsiaTheme="majorEastAsia"/>
          <w:color w:val="auto"/>
          <w:highlight w:val="none"/>
        </w:rPr>
        <w:t>‰滞纳金，但累计滞纳金总额不超过欠款总额的</w:t>
      </w:r>
      <w:r>
        <w:rPr>
          <w:rFonts w:asciiTheme="majorEastAsia" w:hAnsiTheme="majorEastAsia" w:eastAsiaTheme="majorEastAsia"/>
          <w:color w:val="auto"/>
          <w:highlight w:val="none"/>
        </w:rPr>
        <w:t xml:space="preserve">5% </w:t>
      </w:r>
      <w:r>
        <w:rPr>
          <w:rFonts w:hint="eastAsia" w:asciiTheme="majorEastAsia" w:hAnsiTheme="majorEastAsia" w:eastAsiaTheme="majorEastAsia"/>
          <w:color w:val="auto"/>
          <w:highlight w:val="none"/>
        </w:rPr>
        <w:t>。</w:t>
      </w:r>
    </w:p>
    <w:p w14:paraId="65C08777">
      <w:pPr>
        <w:spacing w:line="36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3</w:t>
      </w:r>
      <w:r>
        <w:rPr>
          <w:rFonts w:asciiTheme="majorEastAsia" w:hAnsiTheme="majorEastAsia" w:eastAsiaTheme="majorEastAsia"/>
          <w:color w:val="auto"/>
          <w:highlight w:val="none"/>
        </w:rPr>
        <w:t>.</w:t>
      </w:r>
      <w:r>
        <w:rPr>
          <w:rFonts w:hint="eastAsia" w:asciiTheme="majorEastAsia" w:hAnsiTheme="majorEastAsia" w:eastAsiaTheme="majorEastAsia"/>
          <w:color w:val="auto"/>
          <w:highlight w:val="none"/>
        </w:rPr>
        <w:t>乙方未按本合同的规定和“服务承诺”提供伴随服务的，甲方有权提前解除本合同，同时乙方应按合同总价款的</w:t>
      </w:r>
      <w:r>
        <w:rPr>
          <w:rFonts w:asciiTheme="majorEastAsia" w:hAnsiTheme="majorEastAsia" w:eastAsiaTheme="majorEastAsia"/>
          <w:color w:val="auto"/>
          <w:highlight w:val="none"/>
        </w:rPr>
        <w:t>5 %</w:t>
      </w:r>
      <w:r>
        <w:rPr>
          <w:rFonts w:hint="eastAsia" w:asciiTheme="majorEastAsia" w:hAnsiTheme="majorEastAsia" w:eastAsiaTheme="majorEastAsia"/>
          <w:color w:val="auto"/>
          <w:highlight w:val="none"/>
        </w:rPr>
        <w:t>向甲方承担违约责任。</w:t>
      </w:r>
    </w:p>
    <w:p w14:paraId="197DC22B">
      <w:pPr>
        <w:spacing w:line="36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4</w:t>
      </w:r>
      <w:r>
        <w:rPr>
          <w:rFonts w:asciiTheme="majorEastAsia" w:hAnsiTheme="majorEastAsia" w:eastAsiaTheme="majorEastAsia"/>
          <w:color w:val="auto"/>
          <w:highlight w:val="none"/>
        </w:rPr>
        <w:t>.</w:t>
      </w:r>
      <w:r>
        <w:rPr>
          <w:rFonts w:hint="eastAsia" w:asciiTheme="majorEastAsia" w:hAnsiTheme="majorEastAsia" w:eastAsiaTheme="majorEastAsia"/>
          <w:color w:val="auto"/>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61618EE5">
      <w:pPr>
        <w:spacing w:line="36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5</w:t>
      </w:r>
      <w:r>
        <w:rPr>
          <w:rFonts w:asciiTheme="majorEastAsia" w:hAnsiTheme="majorEastAsia" w:eastAsiaTheme="majorEastAsia"/>
          <w:color w:val="auto"/>
          <w:highlight w:val="none"/>
        </w:rPr>
        <w:t>.</w:t>
      </w:r>
      <w:r>
        <w:rPr>
          <w:rFonts w:hint="eastAsia" w:asciiTheme="majorEastAsia" w:hAnsiTheme="majorEastAsia" w:eastAsiaTheme="majorEastAsia"/>
          <w:color w:val="auto"/>
          <w:highlight w:val="none"/>
        </w:rPr>
        <w:t>乙方投标属虚假承诺，或是由于乙方的过错造成合同无法继续履行的，乙方应向甲方支付不少于合同总价30%违约金，若该违约金不足以弥补甲方损失，则应当赔偿甲方所有损失。</w:t>
      </w:r>
    </w:p>
    <w:p w14:paraId="0D140E7F">
      <w:pPr>
        <w:spacing w:line="36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6</w:t>
      </w:r>
      <w:r>
        <w:rPr>
          <w:rFonts w:asciiTheme="majorEastAsia" w:hAnsiTheme="majorEastAsia" w:eastAsiaTheme="majorEastAsia"/>
          <w:color w:val="auto"/>
          <w:highlight w:val="none"/>
        </w:rPr>
        <w:t>.</w:t>
      </w:r>
      <w:r>
        <w:rPr>
          <w:rFonts w:hint="eastAsia" w:asciiTheme="majorEastAsia" w:hAnsiTheme="majorEastAsia" w:eastAsiaTheme="majorEastAsia"/>
          <w:color w:val="auto"/>
          <w:highlight w:val="none"/>
        </w:rPr>
        <w:t>其他未尽事宜，以《民法典》等有关法律法规规定为准，无相关规定的，双方协商解决。</w:t>
      </w:r>
    </w:p>
    <w:p w14:paraId="3BB30740">
      <w:pPr>
        <w:adjustRightInd w:val="0"/>
        <w:snapToGrid w:val="0"/>
        <w:spacing w:line="360" w:lineRule="exact"/>
        <w:ind w:firstLine="422" w:firstLineChars="200"/>
        <w:rPr>
          <w:rFonts w:asciiTheme="majorEastAsia" w:hAnsiTheme="majorEastAsia" w:eastAsiaTheme="majorEastAsia"/>
          <w:b/>
          <w:color w:val="auto"/>
          <w:szCs w:val="21"/>
          <w:highlight w:val="none"/>
        </w:rPr>
      </w:pPr>
      <w:r>
        <w:rPr>
          <w:rFonts w:hint="eastAsia" w:asciiTheme="majorEastAsia" w:hAnsiTheme="majorEastAsia" w:eastAsiaTheme="majorEastAsia"/>
          <w:b/>
          <w:color w:val="auto"/>
          <w:szCs w:val="21"/>
          <w:highlight w:val="none"/>
        </w:rPr>
        <w:t>第六条 合同的变更和终止</w:t>
      </w:r>
    </w:p>
    <w:p w14:paraId="597B9D99">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1.本合同一经签订，甲乙双方不得擅自变更、中止或终止合同。</w:t>
      </w:r>
    </w:p>
    <w:p w14:paraId="67B39A5A">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2.除发生法律规定的不能预见、不能避免并不能克服的客观情况外，甲乙双方不得放弃或拒绝履行合同。</w:t>
      </w:r>
    </w:p>
    <w:p w14:paraId="1AD54CB5">
      <w:pPr>
        <w:adjustRightInd w:val="0"/>
        <w:snapToGrid w:val="0"/>
        <w:spacing w:line="360" w:lineRule="exact"/>
        <w:ind w:firstLine="422" w:firstLineChars="200"/>
        <w:rPr>
          <w:rFonts w:asciiTheme="majorEastAsia" w:hAnsiTheme="majorEastAsia" w:eastAsiaTheme="majorEastAsia"/>
          <w:b/>
          <w:color w:val="auto"/>
          <w:szCs w:val="21"/>
          <w:highlight w:val="none"/>
        </w:rPr>
      </w:pPr>
      <w:r>
        <w:rPr>
          <w:rFonts w:hint="eastAsia" w:asciiTheme="majorEastAsia" w:hAnsiTheme="majorEastAsia" w:eastAsiaTheme="majorEastAsia"/>
          <w:b/>
          <w:color w:val="auto"/>
          <w:szCs w:val="21"/>
          <w:highlight w:val="none"/>
        </w:rPr>
        <w:t>第七条 合同的转让</w:t>
      </w:r>
    </w:p>
    <w:p w14:paraId="34327488">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乙方不得擅自部分或全部转让其应履行的合同义务。</w:t>
      </w:r>
    </w:p>
    <w:p w14:paraId="18A67177">
      <w:pPr>
        <w:adjustRightInd w:val="0"/>
        <w:snapToGrid w:val="0"/>
        <w:spacing w:line="360" w:lineRule="exact"/>
        <w:ind w:firstLine="422" w:firstLineChars="200"/>
        <w:rPr>
          <w:rFonts w:asciiTheme="majorEastAsia" w:hAnsiTheme="majorEastAsia" w:eastAsiaTheme="majorEastAsia"/>
          <w:b/>
          <w:color w:val="auto"/>
          <w:szCs w:val="21"/>
          <w:highlight w:val="none"/>
        </w:rPr>
      </w:pPr>
      <w:r>
        <w:rPr>
          <w:rFonts w:hint="eastAsia" w:asciiTheme="majorEastAsia" w:hAnsiTheme="majorEastAsia" w:eastAsiaTheme="majorEastAsia"/>
          <w:b/>
          <w:color w:val="auto"/>
          <w:szCs w:val="21"/>
          <w:highlight w:val="none"/>
        </w:rPr>
        <w:t>第八条 不可抗力</w:t>
      </w:r>
    </w:p>
    <w:p w14:paraId="3B055AD5">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甲、乙方中任何一方，因不可抗力不能按时或完全履行合同的，应及时通知对方，并在</w:t>
      </w:r>
      <w:r>
        <w:rPr>
          <w:rFonts w:hint="eastAsia" w:asciiTheme="majorEastAsia" w:hAnsiTheme="majorEastAsia" w:eastAsiaTheme="majorEastAsia"/>
          <w:color w:val="auto"/>
          <w:szCs w:val="21"/>
          <w:highlight w:val="none"/>
          <w:u w:val="single"/>
        </w:rPr>
        <w:t xml:space="preserve">  </w:t>
      </w:r>
      <w:r>
        <w:rPr>
          <w:rFonts w:asciiTheme="majorEastAsia" w:hAnsiTheme="majorEastAsia" w:eastAsiaTheme="majorEastAsia"/>
          <w:color w:val="auto"/>
          <w:szCs w:val="21"/>
          <w:highlight w:val="none"/>
          <w:u w:val="single"/>
        </w:rPr>
        <w:t xml:space="preserve"> </w:t>
      </w:r>
      <w:r>
        <w:rPr>
          <w:rFonts w:hint="eastAsia" w:asciiTheme="majorEastAsia" w:hAnsiTheme="majorEastAsia" w:eastAsiaTheme="majorEastAsia"/>
          <w:color w:val="auto"/>
          <w:szCs w:val="21"/>
          <w:highlight w:val="none"/>
          <w:u w:val="single"/>
        </w:rPr>
        <w:t>个</w:t>
      </w:r>
      <w:r>
        <w:rPr>
          <w:rFonts w:hint="eastAsia" w:asciiTheme="majorEastAsia" w:hAnsiTheme="majorEastAsia" w:eastAsiaTheme="majorEastAsia"/>
          <w:color w:val="auto"/>
          <w:szCs w:val="21"/>
          <w:highlight w:val="none"/>
        </w:rPr>
        <w:t>工作日内提供相应证明。未履行完合同部分是否继续履行、如何履行等问题，可由双方初步协商，并向主管部门报告。确定为不可抗力原因造成的损失，免予承担责任。</w:t>
      </w:r>
    </w:p>
    <w:p w14:paraId="7A078FF0">
      <w:pPr>
        <w:adjustRightInd w:val="0"/>
        <w:snapToGrid w:val="0"/>
        <w:spacing w:line="360" w:lineRule="exact"/>
        <w:ind w:firstLine="422" w:firstLineChars="200"/>
        <w:rPr>
          <w:rFonts w:asciiTheme="majorEastAsia" w:hAnsiTheme="majorEastAsia" w:eastAsiaTheme="majorEastAsia"/>
          <w:b/>
          <w:color w:val="auto"/>
          <w:szCs w:val="21"/>
          <w:highlight w:val="none"/>
        </w:rPr>
      </w:pPr>
      <w:r>
        <w:rPr>
          <w:rFonts w:hint="eastAsia" w:asciiTheme="majorEastAsia" w:hAnsiTheme="majorEastAsia" w:eastAsiaTheme="majorEastAsia"/>
          <w:b/>
          <w:color w:val="auto"/>
          <w:szCs w:val="21"/>
          <w:highlight w:val="none"/>
        </w:rPr>
        <w:t>第九条 争议的解决</w:t>
      </w:r>
    </w:p>
    <w:p w14:paraId="08A8BD84">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rPr>
        <w:t>.因履行本合同引起的或与本合同有关的争议，甲、乙双方应首先通过友好协商解决，如果协商不能解决争议，则采取以下第（ ）种方式解决争议：</w:t>
      </w:r>
    </w:p>
    <w:p w14:paraId="41CAD908">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（1）向甲方所在地人民法院提起诉讼；</w:t>
      </w:r>
    </w:p>
    <w:p w14:paraId="6C3B93D9">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（2）向甲方所在地仲裁委员会按其仲裁规则申请仲裁。</w:t>
      </w:r>
    </w:p>
    <w:p w14:paraId="1C66D00A">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如没有约定，默认采取第2种方式解决争议。</w:t>
      </w:r>
    </w:p>
    <w:p w14:paraId="5B7F8BA6">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2</w:t>
      </w:r>
      <w:r>
        <w:rPr>
          <w:rFonts w:hint="eastAsia" w:asciiTheme="majorEastAsia" w:hAnsiTheme="majorEastAsia" w:eastAsiaTheme="majorEastAsia"/>
          <w:color w:val="auto"/>
          <w:szCs w:val="21"/>
          <w:highlight w:val="none"/>
        </w:rPr>
        <w:t>.在法院审理和仲裁期间，除有争议部分外，本合同其他部分应继续履行。</w:t>
      </w:r>
    </w:p>
    <w:p w14:paraId="7AF9921E">
      <w:pPr>
        <w:adjustRightInd w:val="0"/>
        <w:snapToGrid w:val="0"/>
        <w:spacing w:line="360" w:lineRule="exact"/>
        <w:ind w:firstLine="422" w:firstLineChars="200"/>
        <w:rPr>
          <w:rFonts w:asciiTheme="majorEastAsia" w:hAnsiTheme="majorEastAsia" w:eastAsiaTheme="majorEastAsia"/>
          <w:b/>
          <w:color w:val="auto"/>
          <w:szCs w:val="21"/>
          <w:highlight w:val="none"/>
        </w:rPr>
      </w:pPr>
      <w:r>
        <w:rPr>
          <w:rFonts w:hint="eastAsia" w:asciiTheme="majorEastAsia" w:hAnsiTheme="majorEastAsia" w:eastAsiaTheme="majorEastAsia"/>
          <w:b/>
          <w:color w:val="auto"/>
          <w:szCs w:val="21"/>
          <w:highlight w:val="none"/>
        </w:rPr>
        <w:t xml:space="preserve">第十条 诚实信用 </w:t>
      </w:r>
    </w:p>
    <w:p w14:paraId="176D00B9">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乙方应诚实信用，严格按照招标文件要求和投标承诺履行合同，不向甲方进行商业贿赂或者提供不正当利益。</w:t>
      </w:r>
    </w:p>
    <w:p w14:paraId="18DDCE6C">
      <w:pPr>
        <w:adjustRightInd w:val="0"/>
        <w:snapToGrid w:val="0"/>
        <w:spacing w:line="360" w:lineRule="exact"/>
        <w:ind w:firstLine="422" w:firstLineChars="200"/>
        <w:rPr>
          <w:rFonts w:asciiTheme="majorEastAsia" w:hAnsiTheme="majorEastAsia" w:eastAsiaTheme="majorEastAsia"/>
          <w:b/>
          <w:color w:val="auto"/>
          <w:szCs w:val="21"/>
          <w:highlight w:val="none"/>
        </w:rPr>
      </w:pPr>
      <w:r>
        <w:rPr>
          <w:rFonts w:hint="eastAsia" w:asciiTheme="majorEastAsia" w:hAnsiTheme="majorEastAsia" w:eastAsiaTheme="majorEastAsia"/>
          <w:b/>
          <w:color w:val="auto"/>
          <w:szCs w:val="21"/>
          <w:highlight w:val="none"/>
        </w:rPr>
        <w:t>第十一条 合同生效及其他</w:t>
      </w:r>
    </w:p>
    <w:p w14:paraId="4C33A87E">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1.本合同自经甲乙双方授权代表签订并加盖公章后，自签订之日起生效。见证方仅对甲乙双方签订采购合同的事实进行见证，不代表任何承诺或保证，该合同的履行等相关情况均与见证方无任何关系。</w:t>
      </w:r>
    </w:p>
    <w:p w14:paraId="5EF4C299">
      <w:pPr>
        <w:adjustRightInd w:val="0"/>
        <w:snapToGrid w:val="0"/>
        <w:spacing w:line="3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2.本合同一式伍份，甲乙双方各执贰份，代理机构执壹份存档。</w:t>
      </w:r>
    </w:p>
    <w:p w14:paraId="224A44EF">
      <w:pPr>
        <w:spacing w:line="360" w:lineRule="exact"/>
        <w:ind w:firstLine="420" w:firstLineChars="200"/>
        <w:rPr>
          <w:rFonts w:cs="宋体"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3.本合同应按照中华人民共和国的现行法律进行解释。</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4A0C5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2B40E50">
            <w:pPr>
              <w:spacing w:line="360" w:lineRule="exact"/>
              <w:rPr>
                <w:color w:val="auto"/>
                <w:highlight w:val="none"/>
              </w:rPr>
            </w:pPr>
            <w:r>
              <w:rPr>
                <w:rFonts w:hint="eastAsia" w:ascii="宋体" w:hAnsi="宋体" w:cs="宋体"/>
                <w:b/>
                <w:bCs/>
                <w:color w:val="auto"/>
                <w:szCs w:val="21"/>
                <w:highlight w:val="none"/>
              </w:rPr>
              <w:t>甲    方</w:t>
            </w:r>
            <w:r>
              <w:rPr>
                <w:rFonts w:hint="eastAsia" w:ascii="宋体" w:hAnsi="宋体" w:cs="宋体"/>
                <w:color w:val="auto"/>
                <w:szCs w:val="21"/>
                <w:highlight w:val="none"/>
              </w:rPr>
              <w:t xml:space="preserve">：                     </w:t>
            </w:r>
          </w:p>
          <w:p w14:paraId="2C2062F9">
            <w:pPr>
              <w:spacing w:line="360" w:lineRule="exact"/>
              <w:rPr>
                <w:color w:val="auto"/>
                <w:highlight w:val="none"/>
              </w:rPr>
            </w:pPr>
            <w:r>
              <w:rPr>
                <w:rFonts w:hint="eastAsia" w:ascii="宋体" w:hAnsi="宋体" w:cs="宋体"/>
                <w:color w:val="auto"/>
                <w:szCs w:val="21"/>
                <w:highlight w:val="none"/>
              </w:rPr>
              <w:t xml:space="preserve">单位名称（章）：    </w:t>
            </w:r>
            <w:r>
              <w:rPr>
                <w:rFonts w:ascii="宋体" w:hAnsi="宋体" w:cs="宋体"/>
                <w:color w:val="auto"/>
                <w:szCs w:val="21"/>
                <w:highlight w:val="none"/>
              </w:rPr>
              <w:t xml:space="preserve">            </w:t>
            </w:r>
          </w:p>
          <w:p w14:paraId="66C606AA">
            <w:pPr>
              <w:spacing w:line="360" w:lineRule="exact"/>
              <w:rPr>
                <w:color w:val="auto"/>
                <w:highlight w:val="none"/>
              </w:rPr>
            </w:pPr>
            <w:r>
              <w:rPr>
                <w:rFonts w:hint="eastAsia" w:ascii="宋体" w:hAnsi="宋体" w:cs="宋体"/>
                <w:color w:val="auto"/>
                <w:szCs w:val="21"/>
                <w:highlight w:val="none"/>
              </w:rPr>
              <w:t xml:space="preserve">单位地址：         </w:t>
            </w:r>
            <w:r>
              <w:rPr>
                <w:rFonts w:ascii="宋体" w:hAnsi="宋体" w:cs="宋体"/>
                <w:color w:val="auto"/>
                <w:szCs w:val="21"/>
                <w:highlight w:val="none"/>
              </w:rPr>
              <w:t xml:space="preserve">            </w:t>
            </w:r>
          </w:p>
          <w:p w14:paraId="207AEA23">
            <w:pPr>
              <w:spacing w:line="360" w:lineRule="exact"/>
              <w:rPr>
                <w:color w:val="auto"/>
                <w:highlight w:val="none"/>
              </w:rPr>
            </w:pPr>
            <w:r>
              <w:rPr>
                <w:rFonts w:hint="eastAsia" w:ascii="宋体" w:hAnsi="宋体" w:cs="宋体"/>
                <w:color w:val="auto"/>
                <w:szCs w:val="21"/>
                <w:highlight w:val="none"/>
              </w:rPr>
              <w:t>法定代表人：       委托代理人：</w:t>
            </w:r>
          </w:p>
          <w:p w14:paraId="0BC878F4">
            <w:pPr>
              <w:spacing w:line="360" w:lineRule="exact"/>
              <w:rPr>
                <w:color w:val="auto"/>
                <w:highlight w:val="none"/>
              </w:rPr>
            </w:pPr>
            <w:r>
              <w:rPr>
                <w:rFonts w:hint="eastAsia" w:ascii="宋体" w:hAnsi="宋体" w:cs="宋体"/>
                <w:color w:val="auto"/>
                <w:szCs w:val="21"/>
                <w:highlight w:val="none"/>
              </w:rPr>
              <w:t xml:space="preserve">电话：                         </w:t>
            </w:r>
          </w:p>
          <w:p w14:paraId="547B61A8">
            <w:pPr>
              <w:spacing w:line="360" w:lineRule="exact"/>
              <w:rPr>
                <w:color w:val="auto"/>
                <w:highlight w:val="none"/>
              </w:rPr>
            </w:pPr>
            <w:r>
              <w:rPr>
                <w:rFonts w:hint="eastAsia" w:ascii="宋体" w:hAnsi="宋体" w:cs="宋体"/>
                <w:color w:val="auto"/>
                <w:szCs w:val="21"/>
                <w:highlight w:val="none"/>
              </w:rPr>
              <w:t xml:space="preserve">传真：                         </w:t>
            </w:r>
          </w:p>
          <w:p w14:paraId="52B0DE7C">
            <w:pPr>
              <w:spacing w:line="360" w:lineRule="exact"/>
              <w:rPr>
                <w:rFonts w:ascii="宋体" w:hAnsi="宋体" w:cs="宋体"/>
                <w:color w:val="auto"/>
                <w:szCs w:val="21"/>
                <w:highlight w:val="none"/>
              </w:rPr>
            </w:pPr>
          </w:p>
        </w:tc>
        <w:tc>
          <w:tcPr>
            <w:tcW w:w="4262" w:type="dxa"/>
          </w:tcPr>
          <w:p w14:paraId="423E0420">
            <w:pPr>
              <w:spacing w:line="360" w:lineRule="exact"/>
              <w:rPr>
                <w:color w:val="auto"/>
                <w:highlight w:val="none"/>
              </w:rPr>
            </w:pPr>
            <w:r>
              <w:rPr>
                <w:rFonts w:hint="eastAsia" w:ascii="宋体" w:hAnsi="宋体" w:cs="宋体"/>
                <w:b/>
                <w:bCs/>
                <w:color w:val="auto"/>
                <w:szCs w:val="21"/>
                <w:highlight w:val="none"/>
              </w:rPr>
              <w:t>乙    方</w:t>
            </w:r>
            <w:r>
              <w:rPr>
                <w:rFonts w:hint="eastAsia" w:ascii="宋体" w:hAnsi="宋体" w:cs="宋体"/>
                <w:color w:val="auto"/>
                <w:szCs w:val="21"/>
                <w:highlight w:val="none"/>
              </w:rPr>
              <w:t>：</w:t>
            </w:r>
          </w:p>
          <w:p w14:paraId="0E71E5B7">
            <w:pPr>
              <w:spacing w:line="360" w:lineRule="exact"/>
              <w:rPr>
                <w:color w:val="auto"/>
                <w:highlight w:val="none"/>
              </w:rPr>
            </w:pPr>
            <w:r>
              <w:rPr>
                <w:rFonts w:hint="eastAsia" w:ascii="宋体" w:hAnsi="宋体" w:cs="宋体"/>
                <w:color w:val="auto"/>
                <w:szCs w:val="21"/>
                <w:highlight w:val="none"/>
              </w:rPr>
              <w:t>单位名称（章）：</w:t>
            </w:r>
          </w:p>
          <w:p w14:paraId="08BC3E7B">
            <w:pPr>
              <w:spacing w:line="360" w:lineRule="exact"/>
              <w:rPr>
                <w:color w:val="auto"/>
                <w:highlight w:val="none"/>
              </w:rPr>
            </w:pPr>
            <w:r>
              <w:rPr>
                <w:rFonts w:hint="eastAsia" w:ascii="宋体" w:hAnsi="宋体" w:cs="宋体"/>
                <w:color w:val="auto"/>
                <w:szCs w:val="21"/>
                <w:highlight w:val="none"/>
              </w:rPr>
              <w:t>单位地址：</w:t>
            </w:r>
          </w:p>
          <w:p w14:paraId="6110FBD0">
            <w:pPr>
              <w:spacing w:line="360" w:lineRule="exact"/>
              <w:rPr>
                <w:color w:val="auto"/>
                <w:highlight w:val="none"/>
              </w:rPr>
            </w:pPr>
            <w:r>
              <w:rPr>
                <w:rFonts w:hint="eastAsia" w:ascii="宋体" w:hAnsi="宋体" w:cs="宋体"/>
                <w:color w:val="auto"/>
                <w:szCs w:val="21"/>
                <w:highlight w:val="none"/>
              </w:rPr>
              <w:t xml:space="preserve">法定代表人：     委托代理人： </w:t>
            </w:r>
          </w:p>
          <w:p w14:paraId="75B5CE83">
            <w:pPr>
              <w:spacing w:line="360" w:lineRule="exact"/>
              <w:rPr>
                <w:color w:val="auto"/>
                <w:highlight w:val="none"/>
              </w:rPr>
            </w:pPr>
            <w:r>
              <w:rPr>
                <w:rFonts w:hint="eastAsia" w:ascii="宋体" w:hAnsi="宋体" w:cs="宋体"/>
                <w:color w:val="auto"/>
                <w:szCs w:val="21"/>
                <w:highlight w:val="none"/>
              </w:rPr>
              <w:t>电话：            传真：</w:t>
            </w:r>
          </w:p>
          <w:p w14:paraId="1660C48A">
            <w:pPr>
              <w:spacing w:line="360" w:lineRule="exact"/>
              <w:rPr>
                <w:color w:val="auto"/>
                <w:highlight w:val="none"/>
              </w:rPr>
            </w:pPr>
            <w:r>
              <w:rPr>
                <w:rFonts w:hint="eastAsia" w:ascii="宋体" w:hAnsi="宋体" w:cs="宋体"/>
                <w:color w:val="auto"/>
                <w:szCs w:val="21"/>
                <w:highlight w:val="none"/>
              </w:rPr>
              <w:t xml:space="preserve">开户银行：        帐号：      </w:t>
            </w:r>
          </w:p>
          <w:p w14:paraId="3283255F">
            <w:pPr>
              <w:spacing w:line="360" w:lineRule="exact"/>
              <w:rPr>
                <w:rFonts w:ascii="宋体" w:hAnsi="宋体" w:cs="宋体"/>
                <w:color w:val="auto"/>
                <w:szCs w:val="21"/>
                <w:highlight w:val="none"/>
              </w:rPr>
            </w:pPr>
          </w:p>
        </w:tc>
      </w:tr>
    </w:tbl>
    <w:p w14:paraId="34517F0E">
      <w:pPr>
        <w:spacing w:line="400" w:lineRule="exac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 xml:space="preserve">                                                     </w:t>
      </w:r>
    </w:p>
    <w:p w14:paraId="2F43F130">
      <w:pPr>
        <w:spacing w:line="400" w:lineRule="exact"/>
        <w:rPr>
          <w:rFonts w:cs="宋体" w:asciiTheme="majorEastAsia" w:hAnsiTheme="majorEastAsia" w:eastAsiaTheme="majorEastAsia"/>
          <w:b/>
          <w:bCs/>
          <w:color w:val="auto"/>
          <w:szCs w:val="21"/>
          <w:highlight w:val="none"/>
        </w:rPr>
      </w:pPr>
    </w:p>
    <w:p w14:paraId="2B9B9179">
      <w:pPr>
        <w:spacing w:line="400" w:lineRule="exac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b/>
          <w:bCs/>
          <w:color w:val="auto"/>
          <w:szCs w:val="21"/>
          <w:highlight w:val="none"/>
        </w:rPr>
        <w:t>见证方</w:t>
      </w:r>
      <w:r>
        <w:rPr>
          <w:rFonts w:hint="eastAsia" w:cs="宋体" w:asciiTheme="majorEastAsia" w:hAnsiTheme="majorEastAsia" w:eastAsiaTheme="majorEastAsia"/>
          <w:color w:val="auto"/>
          <w:szCs w:val="21"/>
          <w:highlight w:val="none"/>
        </w:rPr>
        <w:t>：</w:t>
      </w:r>
    </w:p>
    <w:p w14:paraId="63FD1B0A">
      <w:pPr>
        <w:tabs>
          <w:tab w:val="left" w:pos="3780"/>
        </w:tabs>
        <w:spacing w:line="400" w:lineRule="exac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代理机构（章）：</w:t>
      </w:r>
      <w:r>
        <w:rPr>
          <w:rFonts w:hint="eastAsia" w:cs="宋体" w:asciiTheme="majorEastAsia" w:hAnsiTheme="majorEastAsia" w:eastAsiaTheme="majorEastAsia"/>
          <w:b/>
          <w:bCs/>
          <w:color w:val="auto"/>
          <w:szCs w:val="21"/>
          <w:highlight w:val="none"/>
          <w:u w:val="single"/>
        </w:rPr>
        <w:t>常州市城投建设工程招标有限公司</w:t>
      </w:r>
    </w:p>
    <w:p w14:paraId="7396DE22">
      <w:pPr>
        <w:spacing w:line="400" w:lineRule="exac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 xml:space="preserve">                 </w:t>
      </w:r>
    </w:p>
    <w:p w14:paraId="604F35D4">
      <w:pPr>
        <w:spacing w:line="400" w:lineRule="exac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经办人：                               电  话：</w:t>
      </w:r>
    </w:p>
    <w:p w14:paraId="5CACCEEE">
      <w:pPr>
        <w:outlineLvl w:val="1"/>
        <w:rPr>
          <w:rFonts w:hAnsi="宋体" w:cs="宋体"/>
          <w:b/>
          <w:color w:val="auto"/>
          <w:sz w:val="30"/>
          <w:szCs w:val="30"/>
          <w:highlight w:val="none"/>
        </w:rPr>
      </w:pPr>
    </w:p>
    <w:p w14:paraId="2EF10A3F">
      <w:pPr>
        <w:spacing w:line="360" w:lineRule="exact"/>
        <w:ind w:firstLine="420" w:firstLineChars="200"/>
        <w:jc w:val="left"/>
        <w:rPr>
          <w:color w:val="auto"/>
          <w:szCs w:val="21"/>
          <w:highlight w:val="none"/>
        </w:rPr>
      </w:pPr>
      <w:r>
        <w:rPr>
          <w:rFonts w:hint="eastAsia" w:ascii="宋体" w:hAnsi="宋体" w:cs="宋体"/>
          <w:color w:val="auto"/>
          <w:szCs w:val="21"/>
          <w:highlight w:val="none"/>
          <w:u w:val="single"/>
        </w:rPr>
        <w:t>注：本合同为服务合同的草稿，在最终实施签订时，委托人有权根据实际情况对合同内容进行修改完善，合同修改原则上不违背承诺情况，若双方对合同修改存在争议，应本着协商一致的原则予以解决。</w:t>
      </w:r>
    </w:p>
    <w:p w14:paraId="135B90BD">
      <w:pPr>
        <w:outlineLvl w:val="1"/>
        <w:rPr>
          <w:rFonts w:hAnsi="宋体" w:cs="宋体"/>
          <w:b/>
          <w:color w:val="auto"/>
          <w:sz w:val="30"/>
          <w:szCs w:val="30"/>
          <w:highlight w:val="none"/>
        </w:rPr>
      </w:pPr>
    </w:p>
    <w:p w14:paraId="1335ECA5">
      <w:pPr>
        <w:outlineLvl w:val="1"/>
        <w:rPr>
          <w:b/>
          <w:color w:val="auto"/>
          <w:sz w:val="28"/>
          <w:szCs w:val="28"/>
          <w:highlight w:val="none"/>
        </w:rPr>
      </w:pPr>
      <w:r>
        <w:rPr>
          <w:rFonts w:hint="eastAsia" w:hAnsi="宋体" w:cs="宋体"/>
          <w:b/>
          <w:color w:val="auto"/>
          <w:sz w:val="30"/>
          <w:szCs w:val="30"/>
          <w:highlight w:val="none"/>
        </w:rPr>
        <w:br w:type="page"/>
      </w:r>
      <w:r>
        <w:rPr>
          <w:rFonts w:hint="eastAsia" w:ascii="宋体" w:hAnsi="宋体" w:cs="宋体"/>
          <w:b/>
          <w:color w:val="auto"/>
          <w:kern w:val="0"/>
          <w:szCs w:val="21"/>
          <w:highlight w:val="none"/>
        </w:rPr>
        <w:t>附件：1.供应商资格声明函</w:t>
      </w:r>
    </w:p>
    <w:p w14:paraId="05535F30">
      <w:pPr>
        <w:pStyle w:val="5"/>
        <w:spacing w:line="460" w:lineRule="exact"/>
        <w:ind w:firstLine="0"/>
        <w:jc w:val="center"/>
        <w:rPr>
          <w:color w:val="auto"/>
          <w:szCs w:val="24"/>
          <w:highlight w:val="none"/>
        </w:rPr>
      </w:pPr>
      <w:r>
        <w:rPr>
          <w:rFonts w:hint="eastAsia"/>
          <w:b/>
          <w:color w:val="auto"/>
          <w:sz w:val="28"/>
          <w:szCs w:val="28"/>
          <w:highlight w:val="none"/>
        </w:rPr>
        <w:t>供应商资格声明函</w:t>
      </w:r>
    </w:p>
    <w:p w14:paraId="753D5E5F">
      <w:pPr>
        <w:pStyle w:val="5"/>
        <w:spacing w:line="360" w:lineRule="exact"/>
        <w:ind w:firstLine="0"/>
        <w:rPr>
          <w:color w:val="auto"/>
          <w:sz w:val="21"/>
          <w:szCs w:val="21"/>
          <w:highlight w:val="none"/>
        </w:rPr>
      </w:pPr>
    </w:p>
    <w:p w14:paraId="456E7968">
      <w:pPr>
        <w:pStyle w:val="5"/>
        <w:spacing w:line="360" w:lineRule="exact"/>
        <w:ind w:firstLine="0"/>
        <w:rPr>
          <w:color w:val="auto"/>
          <w:sz w:val="21"/>
          <w:szCs w:val="21"/>
          <w:highlight w:val="none"/>
        </w:rPr>
      </w:pPr>
      <w:r>
        <w:rPr>
          <w:rFonts w:hint="eastAsia"/>
          <w:color w:val="auto"/>
          <w:sz w:val="21"/>
          <w:szCs w:val="21"/>
          <w:highlight w:val="none"/>
          <w:lang w:eastAsia="zh-CN"/>
        </w:rPr>
        <w:t>常州市公安局</w:t>
      </w:r>
      <w:r>
        <w:rPr>
          <w:rFonts w:hint="eastAsia"/>
          <w:color w:val="auto"/>
          <w:sz w:val="21"/>
          <w:szCs w:val="21"/>
          <w:highlight w:val="none"/>
        </w:rPr>
        <w:t>、常州市城投建设工程招标有限公司：</w:t>
      </w:r>
    </w:p>
    <w:p w14:paraId="79E6F5C8">
      <w:pPr>
        <w:pStyle w:val="5"/>
        <w:spacing w:line="360" w:lineRule="exact"/>
        <w:ind w:firstLine="480"/>
        <w:rPr>
          <w:color w:val="auto"/>
          <w:sz w:val="21"/>
          <w:szCs w:val="21"/>
          <w:highlight w:val="none"/>
        </w:rPr>
      </w:pPr>
      <w:r>
        <w:rPr>
          <w:rFonts w:hint="eastAsia"/>
          <w:color w:val="auto"/>
          <w:sz w:val="21"/>
          <w:szCs w:val="21"/>
          <w:highlight w:val="none"/>
        </w:rPr>
        <w:t>按照询价通知书要求的“申请人的资格要求”，我单位郑重声明如下：</w:t>
      </w:r>
    </w:p>
    <w:p w14:paraId="136E717F">
      <w:pPr>
        <w:pStyle w:val="5"/>
        <w:spacing w:line="360" w:lineRule="exact"/>
        <w:ind w:firstLine="480"/>
        <w:rPr>
          <w:color w:val="auto"/>
          <w:sz w:val="21"/>
          <w:szCs w:val="21"/>
          <w:highlight w:val="none"/>
        </w:rPr>
      </w:pPr>
      <w:r>
        <w:rPr>
          <w:rFonts w:hint="eastAsia"/>
          <w:color w:val="auto"/>
          <w:sz w:val="21"/>
          <w:szCs w:val="21"/>
          <w:highlight w:val="none"/>
        </w:rPr>
        <w:t>一、我单位是按照中华人民共和国法律规定登记注册的，注册地点为</w:t>
      </w:r>
      <w:r>
        <w:rPr>
          <w:color w:val="auto"/>
          <w:sz w:val="21"/>
          <w:szCs w:val="21"/>
          <w:highlight w:val="none"/>
          <w:u w:val="single"/>
        </w:rPr>
        <w:t xml:space="preserve">         </w:t>
      </w:r>
      <w:r>
        <w:rPr>
          <w:rFonts w:hint="eastAsia"/>
          <w:color w:val="auto"/>
          <w:sz w:val="21"/>
          <w:szCs w:val="21"/>
          <w:highlight w:val="none"/>
        </w:rPr>
        <w:t>，全称为</w:t>
      </w:r>
      <w:r>
        <w:rPr>
          <w:color w:val="auto"/>
          <w:sz w:val="21"/>
          <w:szCs w:val="21"/>
          <w:highlight w:val="none"/>
          <w:u w:val="single"/>
        </w:rPr>
        <w:t xml:space="preserve">        </w:t>
      </w:r>
      <w:r>
        <w:rPr>
          <w:rFonts w:hint="eastAsia"/>
          <w:color w:val="auto"/>
          <w:sz w:val="21"/>
          <w:szCs w:val="21"/>
          <w:highlight w:val="none"/>
        </w:rPr>
        <w:t>，统一社会信用代码为</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，法定代表人（单位负责人）为</w:t>
      </w:r>
      <w:r>
        <w:rPr>
          <w:color w:val="auto"/>
          <w:sz w:val="21"/>
          <w:szCs w:val="21"/>
          <w:highlight w:val="none"/>
          <w:u w:val="single"/>
        </w:rPr>
        <w:t xml:space="preserve">         </w:t>
      </w:r>
      <w:r>
        <w:rPr>
          <w:rFonts w:hint="eastAsia"/>
          <w:color w:val="auto"/>
          <w:sz w:val="21"/>
          <w:szCs w:val="21"/>
          <w:highlight w:val="none"/>
        </w:rPr>
        <w:t>，具有独立承担民事责任的能力</w:t>
      </w:r>
      <w:r>
        <w:rPr>
          <w:rFonts w:hint="eastAsia"/>
          <w:b/>
          <w:color w:val="auto"/>
          <w:sz w:val="21"/>
          <w:szCs w:val="21"/>
          <w:highlight w:val="none"/>
        </w:rPr>
        <w:t>（如属于分公司经总公司授权参与项目，由总公司承担民事责任的，需提供总公司项目授权书）</w:t>
      </w:r>
      <w:r>
        <w:rPr>
          <w:rFonts w:hint="eastAsia"/>
          <w:color w:val="auto"/>
          <w:sz w:val="21"/>
          <w:szCs w:val="21"/>
          <w:highlight w:val="none"/>
        </w:rPr>
        <w:t>。</w:t>
      </w:r>
    </w:p>
    <w:p w14:paraId="7ECA72CE">
      <w:pPr>
        <w:pStyle w:val="5"/>
        <w:spacing w:line="360" w:lineRule="exact"/>
        <w:ind w:firstLine="480"/>
        <w:rPr>
          <w:color w:val="auto"/>
          <w:sz w:val="21"/>
          <w:szCs w:val="21"/>
          <w:highlight w:val="none"/>
        </w:rPr>
      </w:pPr>
      <w:r>
        <w:rPr>
          <w:rFonts w:hint="eastAsia"/>
          <w:color w:val="auto"/>
          <w:sz w:val="21"/>
          <w:szCs w:val="21"/>
          <w:highlight w:val="none"/>
        </w:rPr>
        <w:t>二、我单位未被“国家企业信用信息系统”列入经营异常名录或者严重违法企业名单。</w:t>
      </w:r>
    </w:p>
    <w:p w14:paraId="68F5059E">
      <w:pPr>
        <w:pStyle w:val="5"/>
        <w:spacing w:line="360" w:lineRule="exact"/>
        <w:ind w:firstLine="480"/>
        <w:rPr>
          <w:color w:val="auto"/>
          <w:sz w:val="21"/>
          <w:szCs w:val="21"/>
          <w:highlight w:val="none"/>
        </w:rPr>
      </w:pPr>
      <w:r>
        <w:rPr>
          <w:rFonts w:hint="eastAsia"/>
          <w:color w:val="auto"/>
          <w:sz w:val="21"/>
          <w:szCs w:val="21"/>
          <w:highlight w:val="none"/>
        </w:rPr>
        <w:t>三、我单位具有良好的商业信誉（指供应商经营状况良好，无本资格声明第十条情形）和健全的财务会计制度。</w:t>
      </w:r>
    </w:p>
    <w:p w14:paraId="7952C95E">
      <w:pPr>
        <w:pStyle w:val="5"/>
        <w:spacing w:line="360" w:lineRule="exact"/>
        <w:ind w:firstLine="480"/>
        <w:rPr>
          <w:color w:val="auto"/>
          <w:sz w:val="21"/>
          <w:szCs w:val="21"/>
          <w:highlight w:val="none"/>
        </w:rPr>
      </w:pPr>
      <w:r>
        <w:rPr>
          <w:rFonts w:hint="eastAsia"/>
          <w:color w:val="auto"/>
          <w:sz w:val="21"/>
          <w:szCs w:val="21"/>
          <w:highlight w:val="none"/>
        </w:rPr>
        <w:t>四、我单位依法进行纳税和社会保险申报并实际履行了义务。</w:t>
      </w:r>
    </w:p>
    <w:p w14:paraId="37B04A18">
      <w:pPr>
        <w:pStyle w:val="5"/>
        <w:spacing w:line="360" w:lineRule="exact"/>
        <w:ind w:firstLine="480"/>
        <w:rPr>
          <w:color w:val="auto"/>
          <w:sz w:val="21"/>
          <w:szCs w:val="21"/>
          <w:highlight w:val="none"/>
        </w:rPr>
      </w:pPr>
      <w:r>
        <w:rPr>
          <w:rFonts w:hint="eastAsia"/>
          <w:color w:val="auto"/>
          <w:sz w:val="21"/>
          <w:szCs w:val="21"/>
          <w:highlight w:val="none"/>
        </w:rPr>
        <w:t>五、我单位具有履行本项目采购合同所必需的设备和专业技术能力，并具有履行合同的良好记录。为履行本项采购合同我单位具备如下主要设备和主要专业技术能力</w:t>
      </w:r>
      <w:r>
        <w:rPr>
          <w:color w:val="auto"/>
          <w:sz w:val="21"/>
          <w:szCs w:val="21"/>
          <w:highlight w:val="none"/>
        </w:rPr>
        <w:t>:</w:t>
      </w:r>
    </w:p>
    <w:p w14:paraId="7E367C8C">
      <w:pPr>
        <w:pStyle w:val="5"/>
        <w:spacing w:line="360" w:lineRule="exact"/>
        <w:ind w:firstLine="480"/>
        <w:rPr>
          <w:color w:val="auto"/>
          <w:sz w:val="21"/>
          <w:szCs w:val="21"/>
          <w:highlight w:val="none"/>
        </w:rPr>
      </w:pPr>
      <w:r>
        <w:rPr>
          <w:rFonts w:hint="eastAsia"/>
          <w:color w:val="auto"/>
          <w:sz w:val="21"/>
          <w:szCs w:val="21"/>
          <w:highlight w:val="none"/>
        </w:rPr>
        <w:t>主要设备有：</w:t>
      </w:r>
      <w:r>
        <w:rPr>
          <w:color w:val="auto"/>
          <w:sz w:val="21"/>
          <w:szCs w:val="21"/>
          <w:highlight w:val="none"/>
          <w:u w:val="single"/>
        </w:rPr>
        <w:t xml:space="preserve">            </w:t>
      </w:r>
    </w:p>
    <w:p w14:paraId="5A2C1119">
      <w:pPr>
        <w:pStyle w:val="5"/>
        <w:spacing w:line="360" w:lineRule="exact"/>
        <w:ind w:firstLine="480"/>
        <w:rPr>
          <w:color w:val="auto"/>
          <w:sz w:val="21"/>
          <w:szCs w:val="21"/>
          <w:highlight w:val="none"/>
        </w:rPr>
      </w:pPr>
      <w:r>
        <w:rPr>
          <w:rFonts w:hint="eastAsia"/>
          <w:color w:val="auto"/>
          <w:sz w:val="21"/>
          <w:szCs w:val="21"/>
          <w:highlight w:val="none"/>
        </w:rPr>
        <w:t>主要专业技术能力有</w:t>
      </w:r>
      <w:r>
        <w:rPr>
          <w:color w:val="auto"/>
          <w:sz w:val="21"/>
          <w:szCs w:val="21"/>
          <w:highlight w:val="none"/>
          <w:u w:val="single"/>
        </w:rPr>
        <w:t xml:space="preserve">                 </w:t>
      </w:r>
    </w:p>
    <w:p w14:paraId="3BBEAEB4">
      <w:pPr>
        <w:pStyle w:val="5"/>
        <w:spacing w:line="360" w:lineRule="exact"/>
        <w:ind w:firstLine="480"/>
        <w:rPr>
          <w:color w:val="auto"/>
          <w:sz w:val="21"/>
          <w:szCs w:val="21"/>
          <w:highlight w:val="none"/>
        </w:rPr>
      </w:pPr>
      <w:r>
        <w:rPr>
          <w:rFonts w:hint="eastAsia"/>
          <w:color w:val="auto"/>
          <w:sz w:val="21"/>
          <w:szCs w:val="21"/>
          <w:highlight w:val="none"/>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highlight w:val="none"/>
        </w:rPr>
        <w:t>3</w:t>
      </w:r>
      <w:r>
        <w:rPr>
          <w:rFonts w:hint="eastAsia"/>
          <w:color w:val="auto"/>
          <w:sz w:val="21"/>
          <w:szCs w:val="21"/>
          <w:highlight w:val="none"/>
        </w:rPr>
        <w:t>年内因违法经营被禁止在一定期限内参加采购活动，期限届满的，可以参加采购活动。）</w:t>
      </w:r>
    </w:p>
    <w:p w14:paraId="14B1228E">
      <w:pPr>
        <w:pStyle w:val="5"/>
        <w:spacing w:line="360" w:lineRule="exact"/>
        <w:ind w:firstLine="480"/>
        <w:rPr>
          <w:color w:val="auto"/>
          <w:sz w:val="21"/>
          <w:szCs w:val="21"/>
          <w:highlight w:val="none"/>
        </w:rPr>
      </w:pPr>
      <w:r>
        <w:rPr>
          <w:rFonts w:hint="eastAsia"/>
          <w:color w:val="auto"/>
          <w:sz w:val="21"/>
          <w:szCs w:val="21"/>
          <w:highlight w:val="none"/>
        </w:rPr>
        <w:t>七、我单位具备法律、行政法规规定的其他条件。</w:t>
      </w:r>
    </w:p>
    <w:p w14:paraId="2BB0461B">
      <w:pPr>
        <w:pStyle w:val="5"/>
        <w:spacing w:line="360" w:lineRule="exact"/>
        <w:ind w:firstLine="480"/>
        <w:rPr>
          <w:color w:val="auto"/>
          <w:sz w:val="21"/>
          <w:szCs w:val="21"/>
          <w:highlight w:val="none"/>
        </w:rPr>
      </w:pPr>
      <w:r>
        <w:rPr>
          <w:rFonts w:hint="eastAsia"/>
          <w:color w:val="auto"/>
          <w:sz w:val="21"/>
          <w:szCs w:val="21"/>
          <w:highlight w:val="none"/>
        </w:rPr>
        <w:t>八、与我单位存在“单位负责人为同一人或者存在直接控股、管理关系”的其他单位信息如下（如无此情形的，填写“无”）：</w:t>
      </w:r>
    </w:p>
    <w:p w14:paraId="3653307E">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.与我单位的法定代表人（单位负责人）为同一人的其他单位如下：</w:t>
      </w:r>
      <w:r>
        <w:rPr>
          <w:color w:val="auto"/>
          <w:sz w:val="21"/>
          <w:szCs w:val="21"/>
          <w:highlight w:val="none"/>
          <w:u w:val="single"/>
        </w:rPr>
        <w:t xml:space="preserve">     </w:t>
      </w:r>
      <w:r>
        <w:rPr>
          <w:color w:val="auto"/>
          <w:sz w:val="21"/>
          <w:szCs w:val="21"/>
          <w:highlight w:val="none"/>
        </w:rPr>
        <w:t xml:space="preserve">          </w:t>
      </w:r>
    </w:p>
    <w:p w14:paraId="789F2962">
      <w:pPr>
        <w:pStyle w:val="5"/>
        <w:spacing w:line="360" w:lineRule="exact"/>
        <w:ind w:firstLine="480"/>
        <w:rPr>
          <w:color w:val="auto"/>
          <w:sz w:val="21"/>
          <w:szCs w:val="21"/>
          <w:highlight w:val="none"/>
        </w:rPr>
      </w:pPr>
      <w:r>
        <w:rPr>
          <w:color w:val="auto"/>
          <w:sz w:val="21"/>
          <w:szCs w:val="21"/>
          <w:highlight w:val="none"/>
        </w:rPr>
        <w:t>2</w:t>
      </w:r>
      <w:r>
        <w:rPr>
          <w:rFonts w:hint="eastAsia"/>
          <w:color w:val="auto"/>
          <w:sz w:val="21"/>
          <w:szCs w:val="21"/>
          <w:highlight w:val="none"/>
        </w:rPr>
        <w:t>.我单位直接控股的其他单位如下：</w:t>
      </w:r>
      <w:r>
        <w:rPr>
          <w:color w:val="auto"/>
          <w:sz w:val="21"/>
          <w:szCs w:val="21"/>
          <w:highlight w:val="none"/>
          <w:u w:val="single"/>
        </w:rPr>
        <w:t xml:space="preserve">                    </w:t>
      </w:r>
      <w:r>
        <w:rPr>
          <w:color w:val="auto"/>
          <w:sz w:val="21"/>
          <w:szCs w:val="21"/>
          <w:highlight w:val="none"/>
        </w:rPr>
        <w:t xml:space="preserve"> </w:t>
      </w:r>
    </w:p>
    <w:p w14:paraId="55EC753B">
      <w:pPr>
        <w:pStyle w:val="5"/>
        <w:spacing w:line="360" w:lineRule="exact"/>
        <w:ind w:firstLine="480"/>
        <w:rPr>
          <w:color w:val="auto"/>
          <w:sz w:val="21"/>
          <w:szCs w:val="21"/>
          <w:highlight w:val="none"/>
        </w:rPr>
      </w:pPr>
      <w:r>
        <w:rPr>
          <w:color w:val="auto"/>
          <w:sz w:val="21"/>
          <w:szCs w:val="21"/>
          <w:highlight w:val="none"/>
        </w:rPr>
        <w:t>3</w:t>
      </w:r>
      <w:r>
        <w:rPr>
          <w:rFonts w:hint="eastAsia"/>
          <w:color w:val="auto"/>
          <w:sz w:val="21"/>
          <w:szCs w:val="21"/>
          <w:highlight w:val="none"/>
        </w:rPr>
        <w:t>.与我单位存在管理关系的其他单位如下：</w:t>
      </w:r>
      <w:r>
        <w:rPr>
          <w:color w:val="auto"/>
          <w:sz w:val="21"/>
          <w:szCs w:val="21"/>
          <w:highlight w:val="none"/>
          <w:u w:val="single"/>
        </w:rPr>
        <w:t xml:space="preserve">              </w:t>
      </w:r>
      <w:r>
        <w:rPr>
          <w:color w:val="auto"/>
          <w:sz w:val="21"/>
          <w:szCs w:val="21"/>
          <w:highlight w:val="none"/>
        </w:rPr>
        <w:t xml:space="preserve"> </w:t>
      </w:r>
    </w:p>
    <w:p w14:paraId="694B8311">
      <w:pPr>
        <w:pStyle w:val="5"/>
        <w:spacing w:line="360" w:lineRule="exact"/>
        <w:ind w:firstLine="480"/>
        <w:rPr>
          <w:color w:val="auto"/>
          <w:sz w:val="21"/>
          <w:szCs w:val="21"/>
          <w:highlight w:val="none"/>
        </w:rPr>
      </w:pPr>
      <w:r>
        <w:rPr>
          <w:rFonts w:hint="eastAsia"/>
          <w:color w:val="auto"/>
          <w:sz w:val="21"/>
          <w:szCs w:val="21"/>
          <w:highlight w:val="none"/>
        </w:rPr>
        <w:t>九、我单位不属于为本项目提供整体设计、规范编制或者项目管理、监理、检测等服务的供应商。</w:t>
      </w:r>
    </w:p>
    <w:p w14:paraId="67490E34">
      <w:pPr>
        <w:pStyle w:val="5"/>
        <w:spacing w:line="360" w:lineRule="exact"/>
        <w:ind w:firstLine="480"/>
        <w:rPr>
          <w:color w:val="auto"/>
          <w:sz w:val="21"/>
          <w:szCs w:val="21"/>
          <w:highlight w:val="none"/>
        </w:rPr>
      </w:pPr>
      <w:r>
        <w:rPr>
          <w:rFonts w:hint="eastAsia"/>
          <w:color w:val="auto"/>
          <w:sz w:val="21"/>
          <w:szCs w:val="21"/>
          <w:highlight w:val="none"/>
        </w:rPr>
        <w:t>十、我单位无以下不良信用记录情形：</w:t>
      </w:r>
    </w:p>
    <w:p w14:paraId="1C2D8EC4">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.在“信用中国”网站被列入失信被执行人和重大税收违法案件当事人名单。</w:t>
      </w:r>
    </w:p>
    <w:p w14:paraId="69E5B512">
      <w:pPr>
        <w:pStyle w:val="5"/>
        <w:spacing w:line="360" w:lineRule="exact"/>
        <w:ind w:firstLine="480"/>
        <w:rPr>
          <w:color w:val="auto"/>
          <w:sz w:val="21"/>
          <w:szCs w:val="21"/>
          <w:highlight w:val="none"/>
        </w:rPr>
      </w:pPr>
      <w:r>
        <w:rPr>
          <w:rFonts w:hint="eastAsia"/>
          <w:color w:val="auto"/>
          <w:sz w:val="21"/>
          <w:szCs w:val="21"/>
          <w:highlight w:val="none"/>
        </w:rPr>
        <w:t>我单位保证上述声明的事项都是真实的，如有虚假，我单位愿意承担相应的法律责任，并承担因此所造成的一切损失。</w:t>
      </w:r>
    </w:p>
    <w:p w14:paraId="3F9320E9">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投标人法定代表人或代理人（签字或盖章）：       </w:t>
      </w:r>
    </w:p>
    <w:p w14:paraId="467454E6">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投标人名称（公章）：             </w:t>
      </w:r>
    </w:p>
    <w:p w14:paraId="5AA4AE7E">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日    期：     年    月    日</w:t>
      </w:r>
    </w:p>
    <w:p w14:paraId="120F7A0F">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附件：2.响应函</w:t>
      </w:r>
    </w:p>
    <w:p w14:paraId="671EADF2">
      <w:pPr>
        <w:pStyle w:val="11"/>
        <w:snapToGrid w:val="0"/>
        <w:spacing w:line="360" w:lineRule="auto"/>
        <w:jc w:val="center"/>
        <w:rPr>
          <w:rFonts w:asciiTheme="minorEastAsia" w:hAnsiTheme="minorEastAsia"/>
          <w:bCs/>
          <w:color w:val="auto"/>
          <w:sz w:val="21"/>
          <w:szCs w:val="21"/>
          <w:highlight w:val="none"/>
        </w:rPr>
      </w:pPr>
      <w:r>
        <w:rPr>
          <w:rFonts w:hint="eastAsia" w:asciiTheme="minorEastAsia" w:hAnsiTheme="minorEastAsia"/>
          <w:b/>
          <w:bCs/>
          <w:color w:val="auto"/>
          <w:sz w:val="28"/>
          <w:szCs w:val="28"/>
          <w:highlight w:val="none"/>
        </w:rPr>
        <w:t>响应函</w:t>
      </w:r>
    </w:p>
    <w:p w14:paraId="6136BB1B">
      <w:pPr>
        <w:spacing w:line="36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常州市公安局</w:t>
      </w:r>
      <w:r>
        <w:rPr>
          <w:rFonts w:hint="eastAsia" w:asciiTheme="minorEastAsia" w:hAnsiTheme="minorEastAsia" w:eastAsiaTheme="minorEastAsia"/>
          <w:color w:val="auto"/>
          <w:highlight w:val="none"/>
        </w:rPr>
        <w:t>、常州市城投建设工程招标有限公司 ：</w:t>
      </w:r>
    </w:p>
    <w:p w14:paraId="390B84F6">
      <w:pPr>
        <w:spacing w:line="36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我单位收到贵单位“       号”询价</w:t>
      </w:r>
      <w:r>
        <w:rPr>
          <w:rFonts w:asciiTheme="minorEastAsia" w:hAnsiTheme="minorEastAsia" w:eastAsiaTheme="minorEastAsia"/>
          <w:color w:val="auto"/>
          <w:highlight w:val="none"/>
        </w:rPr>
        <w:t>通知书</w:t>
      </w:r>
      <w:r>
        <w:rPr>
          <w:rFonts w:hint="eastAsia" w:asciiTheme="minorEastAsia" w:hAnsiTheme="minorEastAsia" w:eastAsiaTheme="minorEastAsia"/>
          <w:color w:val="auto"/>
          <w:highlight w:val="none"/>
        </w:rPr>
        <w:t>后，经仔细阅读和研究，我单位决定参加本项目的询价活动。为此，我方郑重声明以下诸点，并负法律责任。</w:t>
      </w:r>
    </w:p>
    <w:p w14:paraId="7D003BEA">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1.我单位愿意</w:t>
      </w:r>
      <w:r>
        <w:rPr>
          <w:rFonts w:hint="eastAsia" w:asciiTheme="minorEastAsia" w:hAnsiTheme="minorEastAsia" w:eastAsiaTheme="minorEastAsia"/>
          <w:color w:val="auto"/>
          <w:sz w:val="21"/>
          <w:szCs w:val="21"/>
          <w:highlight w:val="none"/>
        </w:rPr>
        <w:t>遵守贵单位有关采购的各项规定，</w:t>
      </w:r>
      <w:r>
        <w:rPr>
          <w:rFonts w:hint="eastAsia" w:cs="宋体" w:asciiTheme="minorEastAsia" w:hAnsiTheme="minorEastAsia" w:eastAsiaTheme="minorEastAsia"/>
          <w:color w:val="auto"/>
          <w:sz w:val="21"/>
          <w:szCs w:val="21"/>
          <w:highlight w:val="none"/>
        </w:rPr>
        <w:t>提供询价通知书中要求的所有资料，并保证完全真实准确，若有虚假和违背，我单位愿意承担由此而产生的一切后果。</w:t>
      </w:r>
    </w:p>
    <w:p w14:paraId="60D198BD">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olor w:val="auto"/>
          <w:sz w:val="21"/>
          <w:szCs w:val="21"/>
          <w:highlight w:val="none"/>
        </w:rPr>
        <w:t>2.</w:t>
      </w:r>
      <w:r>
        <w:rPr>
          <w:rFonts w:hint="eastAsia" w:cs="宋体" w:asciiTheme="minorEastAsia" w:hAnsiTheme="minorEastAsia" w:eastAsiaTheme="minorEastAsia"/>
          <w:color w:val="auto"/>
          <w:sz w:val="21"/>
          <w:szCs w:val="21"/>
          <w:highlight w:val="none"/>
        </w:rPr>
        <w:t>我单位</w:t>
      </w:r>
      <w:r>
        <w:rPr>
          <w:rFonts w:hint="eastAsia"/>
          <w:color w:val="auto"/>
          <w:sz w:val="21"/>
          <w:szCs w:val="21"/>
          <w:highlight w:val="none"/>
        </w:rPr>
        <w:t>承诺财务状况良好，依法缴纳税收和社会保障资金，具备履行合同所必需的设备和专业技术能力，参加采购活动前3年内在经营活动中没有重大违法记录。</w:t>
      </w:r>
    </w:p>
    <w:p w14:paraId="5B731142">
      <w:pPr>
        <w:adjustRightInd w:val="0"/>
        <w:snapToGrid w:val="0"/>
        <w:spacing w:line="360" w:lineRule="exact"/>
        <w:ind w:firstLine="422" w:firstLineChars="20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3.我单位承诺保证采购人在使用该货物或其任何一部分时不受第三方提出侵犯其专利权</w:t>
      </w:r>
      <w:r>
        <w:rPr>
          <w:rFonts w:hint="eastAsia"/>
          <w:color w:val="auto"/>
          <w:highlight w:val="none"/>
          <w:shd w:val="clear" w:color="auto" w:fill="FFFFFF"/>
        </w:rPr>
        <w:t>、</w:t>
      </w:r>
      <w:r>
        <w:rPr>
          <w:color w:val="auto"/>
          <w:highlight w:val="none"/>
          <w:shd w:val="clear" w:color="auto" w:fill="FFFFFF"/>
        </w:rPr>
        <w:t>著作</w:t>
      </w:r>
      <w:r>
        <w:rPr>
          <w:rFonts w:hint="eastAsia"/>
          <w:color w:val="auto"/>
          <w:highlight w:val="none"/>
          <w:shd w:val="clear" w:color="auto" w:fill="FFFFFF"/>
        </w:rPr>
        <w:t>权、商标权等知识产权的起诉。</w:t>
      </w:r>
      <w:r>
        <w:rPr>
          <w:rFonts w:hint="eastAsia" w:asciiTheme="minorEastAsia" w:hAnsiTheme="minorEastAsia" w:eastAsiaTheme="minorEastAsia"/>
          <w:color w:val="auto"/>
          <w:szCs w:val="21"/>
          <w:highlight w:val="none"/>
        </w:rPr>
        <w:t>一旦出现侵权、索赔或诉讼，我单位承担全部责任。</w:t>
      </w:r>
    </w:p>
    <w:p w14:paraId="3BB99A0B">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auto"/>
          <w:sz w:val="21"/>
          <w:szCs w:val="21"/>
          <w:highlight w:val="none"/>
          <w:u w:val="single"/>
        </w:rPr>
        <w:t>6</w:t>
      </w:r>
      <w:r>
        <w:rPr>
          <w:rFonts w:hint="eastAsia" w:cs="宋体" w:asciiTheme="minorEastAsia" w:hAnsiTheme="minorEastAsia" w:eastAsiaTheme="minorEastAsia"/>
          <w:color w:val="auto"/>
          <w:sz w:val="21"/>
          <w:szCs w:val="21"/>
          <w:highlight w:val="none"/>
          <w:u w:val="single"/>
        </w:rPr>
        <w:t>0</w:t>
      </w:r>
      <w:r>
        <w:rPr>
          <w:rFonts w:hint="eastAsia" w:cs="宋体" w:asciiTheme="minorEastAsia" w:hAnsiTheme="minorEastAsia" w:eastAsiaTheme="minorEastAsia"/>
          <w:color w:val="auto"/>
          <w:sz w:val="21"/>
          <w:szCs w:val="21"/>
          <w:highlight w:val="none"/>
        </w:rPr>
        <w:t>天。</w:t>
      </w:r>
    </w:p>
    <w:p w14:paraId="7FFE13FD">
      <w:pPr>
        <w:pStyle w:val="55"/>
        <w:spacing w:line="360" w:lineRule="exact"/>
        <w:ind w:firstLine="420"/>
        <w:jc w:val="left"/>
        <w:rPr>
          <w:rFonts w:cs="Arial"/>
          <w:color w:val="auto"/>
          <w:szCs w:val="21"/>
          <w:highlight w:val="none"/>
        </w:rPr>
      </w:pPr>
      <w:r>
        <w:rPr>
          <w:rFonts w:hint="eastAsia" w:asciiTheme="minorEastAsia" w:hAnsiTheme="minorEastAsia" w:eastAsiaTheme="minorEastAsia"/>
          <w:color w:val="auto"/>
          <w:sz w:val="21"/>
          <w:szCs w:val="21"/>
          <w:highlight w:val="none"/>
        </w:rPr>
        <w:t>5.</w:t>
      </w:r>
      <w:r>
        <w:rPr>
          <w:rFonts w:hint="eastAsia" w:cs="宋体" w:asciiTheme="minorEastAsia" w:hAnsiTheme="minorEastAsia" w:eastAsiaTheme="minorEastAsia"/>
          <w:color w:val="auto"/>
          <w:sz w:val="21"/>
          <w:szCs w:val="21"/>
          <w:highlight w:val="none"/>
        </w:rPr>
        <w:t>我单位愿意</w:t>
      </w:r>
      <w:r>
        <w:rPr>
          <w:rFonts w:hint="eastAsia" w:asciiTheme="minorEastAsia" w:hAnsiTheme="minorEastAsia" w:eastAsiaTheme="minorEastAsia"/>
          <w:color w:val="auto"/>
          <w:sz w:val="21"/>
          <w:szCs w:val="21"/>
          <w:highlight w:val="none"/>
        </w:rPr>
        <w:t>按询价通知书规定的各项要求，向采购人提供所需货物与服务。</w:t>
      </w:r>
    </w:p>
    <w:p w14:paraId="648774BF">
      <w:pPr>
        <w:tabs>
          <w:tab w:val="left" w:pos="284"/>
        </w:tabs>
        <w:spacing w:line="360" w:lineRule="exact"/>
        <w:ind w:firstLine="420" w:firstLineChars="200"/>
        <w:rPr>
          <w:color w:val="auto"/>
          <w:highlight w:val="none"/>
        </w:rPr>
      </w:pPr>
      <w:r>
        <w:rPr>
          <w:rFonts w:hint="eastAsia" w:asciiTheme="minorEastAsia" w:hAnsiTheme="minorEastAsia" w:eastAsiaTheme="minorEastAsia"/>
          <w:color w:val="auto"/>
          <w:szCs w:val="21"/>
          <w:highlight w:val="none"/>
        </w:rPr>
        <w:t>询价报价包括但不限于</w:t>
      </w:r>
      <w:r>
        <w:rPr>
          <w:rFonts w:hint="eastAsia" w:ascii="宋体" w:cs="Arial"/>
          <w:color w:val="auto"/>
          <w:szCs w:val="21"/>
          <w:highlight w:val="none"/>
        </w:rPr>
        <w:t>询价通知书</w:t>
      </w:r>
      <w:r>
        <w:rPr>
          <w:rFonts w:hint="eastAsia" w:ascii="宋体" w:hAnsi="宋体" w:cs="宋体"/>
          <w:color w:val="auto"/>
          <w:szCs w:val="21"/>
          <w:highlight w:val="none"/>
        </w:rPr>
        <w:t>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D92ACEE">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6.我单位认为贵单位有权决定成交供应商，还认为贵单位有权接受或拒绝所有的供应商。</w:t>
      </w:r>
    </w:p>
    <w:p w14:paraId="2C4F08E3">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7</w:t>
      </w:r>
      <w:r>
        <w:rPr>
          <w:rFonts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我单位愿意遵守询价通知书中所列的收费标准，按询价通知书的规定支付成交服务费。</w:t>
      </w:r>
    </w:p>
    <w:p w14:paraId="4B213FA0">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8.如果我单位的询价响应文件被接受，</w:t>
      </w:r>
      <w:r>
        <w:rPr>
          <w:rFonts w:hint="eastAsia" w:asciiTheme="minorEastAsia" w:hAnsiTheme="minorEastAsia" w:eastAsiaTheme="minorEastAsia"/>
          <w:color w:val="auto"/>
          <w:sz w:val="21"/>
          <w:szCs w:val="21"/>
          <w:highlight w:val="none"/>
        </w:rPr>
        <w:t>愿按《中华人民共和国民法典》履行自己的全部责任，</w:t>
      </w:r>
      <w:r>
        <w:rPr>
          <w:rFonts w:asciiTheme="minorEastAsia" w:hAnsiTheme="minorEastAsia" w:eastAsiaTheme="minorEastAsia"/>
          <w:color w:val="auto"/>
          <w:sz w:val="21"/>
          <w:szCs w:val="21"/>
          <w:highlight w:val="none"/>
        </w:rPr>
        <w:t>同时</w:t>
      </w:r>
      <w:r>
        <w:rPr>
          <w:rFonts w:hint="eastAsia" w:cs="宋体" w:asciiTheme="minorEastAsia" w:hAnsiTheme="minorEastAsia" w:eastAsiaTheme="minorEastAsia"/>
          <w:color w:val="auto"/>
          <w:sz w:val="21"/>
          <w:szCs w:val="21"/>
          <w:highlight w:val="none"/>
        </w:rPr>
        <w:t>严格履行询价通知书中规定的每一项要求，按期、按质、按量履行合同的义务。</w:t>
      </w:r>
    </w:p>
    <w:p w14:paraId="48EFDEF3">
      <w:pPr>
        <w:pStyle w:val="55"/>
        <w:spacing w:line="360" w:lineRule="exact"/>
        <w:ind w:firstLine="420"/>
        <w:rPr>
          <w:rFonts w:cs="宋体"/>
          <w:color w:val="auto"/>
          <w:sz w:val="21"/>
          <w:szCs w:val="21"/>
          <w:highlight w:val="none"/>
        </w:rPr>
      </w:pPr>
      <w:r>
        <w:rPr>
          <w:rFonts w:hint="eastAsia" w:cs="宋体"/>
          <w:color w:val="auto"/>
          <w:sz w:val="21"/>
          <w:szCs w:val="21"/>
          <w:highlight w:val="none"/>
        </w:rPr>
        <w:t>9.与本次询价有关的正式通讯地址为：</w:t>
      </w:r>
    </w:p>
    <w:p w14:paraId="02D1D987">
      <w:pPr>
        <w:spacing w:line="360" w:lineRule="exact"/>
        <w:ind w:firstLine="420" w:firstLineChars="200"/>
        <w:rPr>
          <w:rFonts w:asciiTheme="minorEastAsia" w:hAnsiTheme="minorEastAsia" w:eastAsiaTheme="minorEastAsia"/>
          <w:color w:val="auto"/>
          <w:highlight w:val="none"/>
        </w:rPr>
      </w:pPr>
    </w:p>
    <w:p w14:paraId="14A971E6">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供应商（公章）：</w:t>
      </w:r>
    </w:p>
    <w:p w14:paraId="776F7749">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法定代表人或其委托代理人（签字）：</w:t>
      </w:r>
    </w:p>
    <w:p w14:paraId="366C4A97">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630F5E79">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电话：    传真：</w:t>
      </w:r>
    </w:p>
    <w:p w14:paraId="45D49D64">
      <w:pPr>
        <w:pStyle w:val="5"/>
        <w:rPr>
          <w:color w:val="auto"/>
          <w:highlight w:val="none"/>
        </w:rPr>
      </w:pPr>
      <w:r>
        <w:rPr>
          <w:rFonts w:hint="eastAsia" w:asciiTheme="minorEastAsia" w:hAnsiTheme="minorEastAsia"/>
          <w:color w:val="auto"/>
          <w:sz w:val="21"/>
          <w:szCs w:val="21"/>
          <w:highlight w:val="none"/>
        </w:rPr>
        <w:t>电子函件</w:t>
      </w:r>
    </w:p>
    <w:p w14:paraId="0FEE8A82">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邮政编码：</w:t>
      </w:r>
    </w:p>
    <w:p w14:paraId="01742D3B">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开户名称：</w:t>
      </w:r>
    </w:p>
    <w:p w14:paraId="724CD723">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开户银行：</w:t>
      </w:r>
    </w:p>
    <w:p w14:paraId="046AFE40">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银行账号：</w:t>
      </w:r>
    </w:p>
    <w:p w14:paraId="46A821A2">
      <w:pPr>
        <w:pStyle w:val="11"/>
        <w:snapToGrid w:val="0"/>
        <w:spacing w:line="360" w:lineRule="auto"/>
        <w:ind w:firstLine="420"/>
        <w:rPr>
          <w:rFonts w:asciiTheme="minorEastAsia" w:hAnsiTheme="minorEastAsia"/>
          <w:bCs/>
          <w:color w:val="auto"/>
          <w:sz w:val="21"/>
          <w:szCs w:val="21"/>
          <w:highlight w:val="none"/>
        </w:rPr>
      </w:pPr>
      <w:r>
        <w:rPr>
          <w:rFonts w:hint="eastAsia" w:asciiTheme="minorEastAsia" w:hAnsiTheme="minorEastAsia"/>
          <w:color w:val="auto"/>
          <w:sz w:val="21"/>
          <w:szCs w:val="21"/>
          <w:highlight w:val="none"/>
        </w:rPr>
        <w:t>日期</w:t>
      </w:r>
      <w:r>
        <w:rPr>
          <w:rFonts w:asciiTheme="minorEastAsia" w:hAnsiTheme="minorEastAsia"/>
          <w:color w:val="auto"/>
          <w:sz w:val="21"/>
          <w:szCs w:val="21"/>
          <w:highlight w:val="none"/>
        </w:rPr>
        <w:t>：</w:t>
      </w:r>
      <w:r>
        <w:rPr>
          <w:rFonts w:hint="eastAsia" w:asciiTheme="minorEastAsia" w:hAnsiTheme="minorEastAsia"/>
          <w:color w:val="auto"/>
          <w:sz w:val="21"/>
          <w:szCs w:val="21"/>
          <w:highlight w:val="none"/>
        </w:rPr>
        <w:t xml:space="preserve">     </w:t>
      </w:r>
      <w:r>
        <w:rPr>
          <w:rFonts w:hint="eastAsia" w:asciiTheme="minorEastAsia" w:hAnsiTheme="minorEastAsia"/>
          <w:bCs/>
          <w:color w:val="auto"/>
          <w:sz w:val="21"/>
          <w:szCs w:val="21"/>
          <w:highlight w:val="none"/>
        </w:rPr>
        <w:t>年   月   日</w:t>
      </w:r>
    </w:p>
    <w:p w14:paraId="57381F92">
      <w:pPr>
        <w:rPr>
          <w:rFonts w:asciiTheme="minorEastAsia" w:hAnsiTheme="minorEastAsia"/>
          <w:bCs/>
          <w:color w:val="auto"/>
          <w:szCs w:val="21"/>
          <w:highlight w:val="none"/>
        </w:rPr>
      </w:pPr>
      <w:r>
        <w:rPr>
          <w:rFonts w:hint="eastAsia" w:asciiTheme="minorEastAsia" w:hAnsiTheme="minorEastAsia"/>
          <w:bCs/>
          <w:color w:val="auto"/>
          <w:szCs w:val="21"/>
          <w:highlight w:val="none"/>
        </w:rPr>
        <w:br w:type="page"/>
      </w:r>
    </w:p>
    <w:p w14:paraId="747ECE5A">
      <w:pPr>
        <w:pStyle w:val="11"/>
        <w:snapToGrid w:val="0"/>
        <w:spacing w:line="360" w:lineRule="auto"/>
        <w:ind w:firstLine="420"/>
        <w:rPr>
          <w:rFonts w:cs="宋体"/>
          <w:b/>
          <w:color w:val="auto"/>
          <w:szCs w:val="21"/>
          <w:highlight w:val="none"/>
        </w:rPr>
      </w:pPr>
      <w:r>
        <w:rPr>
          <w:rFonts w:hint="eastAsia" w:cs="宋体"/>
          <w:b/>
          <w:color w:val="auto"/>
          <w:kern w:val="0"/>
          <w:szCs w:val="21"/>
          <w:highlight w:val="none"/>
        </w:rPr>
        <w:t>附件：3.法定代表人资格证明书</w:t>
      </w:r>
    </w:p>
    <w:p w14:paraId="3BEF2551">
      <w:pPr>
        <w:rPr>
          <w:color w:val="auto"/>
          <w:highlight w:val="none"/>
        </w:rPr>
      </w:pPr>
    </w:p>
    <w:p w14:paraId="76E477B1">
      <w:pPr>
        <w:spacing w:line="360" w:lineRule="auto"/>
        <w:jc w:val="center"/>
        <w:rPr>
          <w:rFonts w:ascii="宋体" w:hAnsi="宋体"/>
          <w:b/>
          <w:color w:val="auto"/>
          <w:sz w:val="32"/>
          <w:szCs w:val="32"/>
          <w:highlight w:val="none"/>
        </w:rPr>
      </w:pPr>
      <w:r>
        <w:rPr>
          <w:rFonts w:hint="eastAsia" w:ascii="宋体" w:hAnsi="宋体"/>
          <w:b/>
          <w:color w:val="auto"/>
          <w:sz w:val="28"/>
          <w:szCs w:val="28"/>
          <w:highlight w:val="none"/>
        </w:rPr>
        <w:t>法定代表人资格证明书</w:t>
      </w:r>
    </w:p>
    <w:p w14:paraId="370D2608">
      <w:pPr>
        <w:spacing w:line="360" w:lineRule="auto"/>
        <w:rPr>
          <w:rFonts w:ascii="宋体" w:hAns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rPr>
        <w:t>:</w:t>
      </w:r>
    </w:p>
    <w:p w14:paraId="19246510">
      <w:pPr>
        <w:spacing w:line="360" w:lineRule="auto"/>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w:t>
      </w:r>
    </w:p>
    <w:p w14:paraId="61997632">
      <w:pPr>
        <w:spacing w:line="360" w:lineRule="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rPr>
        <w:t>:            </w:t>
      </w:r>
      <w:r>
        <w:rPr>
          <w:rFonts w:hint="eastAsia" w:ascii="宋体" w:hAnsi="宋体"/>
          <w:color w:val="auto"/>
          <w:szCs w:val="21"/>
          <w:highlight w:val="none"/>
        </w:rPr>
        <w:t>性别</w:t>
      </w:r>
      <w:r>
        <w:rPr>
          <w:rFonts w:ascii="宋体" w:hAnsi="宋体"/>
          <w:color w:val="auto"/>
          <w:szCs w:val="21"/>
          <w:highlight w:val="none"/>
        </w:rPr>
        <w:t>:        </w:t>
      </w:r>
      <w:r>
        <w:rPr>
          <w:rFonts w:hint="eastAsia" w:ascii="宋体" w:hAnsi="宋体"/>
          <w:color w:val="auto"/>
          <w:szCs w:val="21"/>
          <w:highlight w:val="none"/>
        </w:rPr>
        <w:t>年龄</w:t>
      </w:r>
      <w:r>
        <w:rPr>
          <w:rFonts w:ascii="宋体" w:hAnsi="宋体"/>
          <w:color w:val="auto"/>
          <w:szCs w:val="21"/>
          <w:highlight w:val="none"/>
        </w:rPr>
        <w:t>:        </w:t>
      </w:r>
      <w:r>
        <w:rPr>
          <w:rFonts w:hint="eastAsia" w:ascii="宋体" w:hAnsi="宋体"/>
          <w:color w:val="auto"/>
          <w:szCs w:val="21"/>
          <w:highlight w:val="none"/>
        </w:rPr>
        <w:t>职务</w:t>
      </w:r>
      <w:r>
        <w:rPr>
          <w:rFonts w:ascii="宋体" w:hAnsi="宋体"/>
          <w:color w:val="auto"/>
          <w:szCs w:val="21"/>
          <w:highlight w:val="none"/>
        </w:rPr>
        <w:t>:</w:t>
      </w:r>
    </w:p>
    <w:p w14:paraId="6D388A8D">
      <w:pPr>
        <w:spacing w:line="360" w:lineRule="auto"/>
        <w:rPr>
          <w:rFonts w:ascii="宋体" w:hAnsi="宋体"/>
          <w:color w:val="auto"/>
          <w:szCs w:val="21"/>
          <w:highlight w:val="none"/>
        </w:rPr>
      </w:pPr>
      <w:r>
        <w:rPr>
          <w:rFonts w:hint="eastAsia"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rPr>
        <w:t>的法定代表人。为实施</w:t>
      </w:r>
      <w:r>
        <w:rPr>
          <w:rFonts w:ascii="宋体" w:hAnsi="宋体"/>
          <w:color w:val="auto"/>
          <w:szCs w:val="21"/>
          <w:highlight w:val="none"/>
        </w:rPr>
        <w:t xml:space="preserve"> </w:t>
      </w:r>
      <w:r>
        <w:rPr>
          <w:rFonts w:hint="eastAsia" w:ascii="宋体" w:hAnsi="宋体"/>
          <w:color w:val="auto"/>
          <w:szCs w:val="21"/>
          <w:highlight w:val="none"/>
          <w:u w:val="single"/>
        </w:rPr>
        <w:t xml:space="preserve">           （  </w:t>
      </w:r>
      <w:r>
        <w:rPr>
          <w:rFonts w:ascii="宋体" w:hAnsi="宋体"/>
          <w:color w:val="auto"/>
          <w:szCs w:val="21"/>
          <w:highlight w:val="none"/>
          <w:u w:val="single"/>
        </w:rPr>
        <w:t xml:space="preserve">    </w:t>
      </w:r>
      <w:r>
        <w:rPr>
          <w:rFonts w:hint="eastAsia" w:ascii="宋体" w:hAnsi="宋体"/>
          <w:color w:val="auto"/>
          <w:szCs w:val="21"/>
          <w:highlight w:val="none"/>
          <w:u w:val="single"/>
        </w:rPr>
        <w:t>号）</w:t>
      </w:r>
      <w:r>
        <w:rPr>
          <w:rFonts w:ascii="宋体" w:hAnsi="宋体"/>
          <w:color w:val="auto"/>
          <w:szCs w:val="21"/>
          <w:highlight w:val="none"/>
          <w:u w:val="single"/>
        </w:rPr>
        <w:t> </w:t>
      </w:r>
      <w:r>
        <w:rPr>
          <w:rFonts w:hint="eastAsia" w:ascii="宋体" w:hAnsi="宋体"/>
          <w:color w:val="auto"/>
          <w:szCs w:val="21"/>
          <w:highlight w:val="none"/>
        </w:rPr>
        <w:t>的工作，签署上述项目的响应文件、进行合同谈判、签署合同和处理与之有关的一切事务。</w:t>
      </w:r>
    </w:p>
    <w:p w14:paraId="1256FA2A">
      <w:pPr>
        <w:spacing w:line="360" w:lineRule="auto"/>
        <w:rPr>
          <w:rFonts w:ascii="宋体" w:hAnsi="宋体"/>
          <w:color w:val="auto"/>
          <w:szCs w:val="21"/>
          <w:highlight w:val="none"/>
        </w:rPr>
      </w:pPr>
      <w:r>
        <w:rPr>
          <w:rFonts w:hint="eastAsia" w:ascii="宋体" w:hAnsi="宋体"/>
          <w:color w:val="auto"/>
          <w:szCs w:val="21"/>
          <w:highlight w:val="none"/>
        </w:rPr>
        <w:t>特此证明。</w:t>
      </w:r>
    </w:p>
    <w:p w14:paraId="5119373E">
      <w:pPr>
        <w:spacing w:line="360" w:lineRule="auto"/>
        <w:rPr>
          <w:rFonts w:ascii="宋体" w:hAnsi="宋体"/>
          <w:color w:val="auto"/>
          <w:szCs w:val="21"/>
          <w:highlight w:val="none"/>
        </w:rPr>
      </w:pPr>
    </w:p>
    <w:p w14:paraId="46C88F5E">
      <w:pPr>
        <w:spacing w:line="360" w:lineRule="auto"/>
        <w:rPr>
          <w:rFonts w:ascii="宋体" w:hAnsi="宋体"/>
          <w:color w:val="auto"/>
          <w:szCs w:val="21"/>
          <w:highlight w:val="none"/>
        </w:rPr>
      </w:pPr>
    </w:p>
    <w:p w14:paraId="1D58F145">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供应商：（公章）</w:t>
      </w:r>
    </w:p>
    <w:p w14:paraId="4ACDD775">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法定代表人签字或盖章：</w:t>
      </w:r>
    </w:p>
    <w:p w14:paraId="55B96A84">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3011E3F9">
      <w:pPr>
        <w:tabs>
          <w:tab w:val="left" w:pos="6045"/>
        </w:tabs>
        <w:snapToGrid w:val="0"/>
        <w:spacing w:line="360" w:lineRule="auto"/>
        <w:ind w:left="210" w:hanging="210" w:hangingChars="100"/>
        <w:rPr>
          <w:rFonts w:ascii="宋体" w:hAnsi="宋体"/>
          <w:color w:val="auto"/>
          <w:szCs w:val="21"/>
          <w:highlight w:val="none"/>
        </w:rPr>
      </w:pPr>
    </w:p>
    <w:p w14:paraId="6A7E313E">
      <w:pPr>
        <w:snapToGrid w:val="0"/>
        <w:spacing w:line="360" w:lineRule="auto"/>
        <w:rPr>
          <w:rFonts w:ascii="宋体" w:hAnsi="宋体"/>
          <w:color w:val="auto"/>
          <w:szCs w:val="21"/>
          <w:highlight w:val="none"/>
        </w:rPr>
      </w:pPr>
      <w:r>
        <w:rPr>
          <w:rFonts w:hint="eastAsia" w:ascii="宋体" w:hAnsi="宋体" w:cs="宋体"/>
          <w:color w:val="auto"/>
          <w:szCs w:val="21"/>
          <w:highlight w:val="none"/>
        </w:rPr>
        <w:t> </w:t>
      </w:r>
    </w:p>
    <w:p w14:paraId="3C002C0D">
      <w:pPr>
        <w:snapToGrid w:val="0"/>
        <w:spacing w:line="360" w:lineRule="auto"/>
        <w:rPr>
          <w:rFonts w:ascii="宋体" w:hAnsi="宋体"/>
          <w:color w:val="auto"/>
          <w:szCs w:val="21"/>
          <w:highlight w:val="none"/>
        </w:rPr>
      </w:pPr>
    </w:p>
    <w:p w14:paraId="29419E98">
      <w:pPr>
        <w:snapToGrid w:val="0"/>
        <w:spacing w:line="360" w:lineRule="auto"/>
        <w:rPr>
          <w:rFonts w:ascii="宋体" w:hAnsi="宋体"/>
          <w:b/>
          <w:color w:val="auto"/>
          <w:szCs w:val="21"/>
          <w:highlight w:val="none"/>
        </w:rPr>
      </w:pPr>
    </w:p>
    <w:p w14:paraId="1D41DE53">
      <w:pPr>
        <w:spacing w:line="360" w:lineRule="auto"/>
        <w:rPr>
          <w:rFonts w:ascii="宋体" w:hAnsi="宋体"/>
          <w:color w:val="auto"/>
          <w:szCs w:val="21"/>
          <w:highlight w:val="none"/>
        </w:rPr>
      </w:pPr>
      <w:r>
        <w:rPr>
          <w:rFonts w:hint="eastAsia" w:ascii="宋体" w:hAnsi="宋体"/>
          <w:color w:val="auto"/>
          <w:szCs w:val="21"/>
          <w:highlight w:val="none"/>
        </w:rPr>
        <w:t>法定代表人身份证</w:t>
      </w:r>
    </w:p>
    <w:p w14:paraId="1F2FB8B7">
      <w:pPr>
        <w:spacing w:line="360" w:lineRule="auto"/>
        <w:rPr>
          <w:rFonts w:ascii="宋体" w:hAnsi="宋体"/>
          <w:color w:val="auto"/>
          <w:szCs w:val="21"/>
          <w:highlight w:val="none"/>
        </w:rPr>
      </w:pPr>
      <w:r>
        <w:rPr>
          <w:rFonts w:hint="eastAsia" w:ascii="宋体" w:hAnsi="宋体"/>
          <w:color w:val="auto"/>
          <w:szCs w:val="21"/>
          <w:highlight w:val="none"/>
        </w:rPr>
        <w:t>（双面复印件）粘贴处</w:t>
      </w:r>
    </w:p>
    <w:p w14:paraId="4E7F5D00">
      <w:pPr>
        <w:snapToGrid w:val="0"/>
        <w:spacing w:line="360" w:lineRule="auto"/>
        <w:rPr>
          <w:rFonts w:ascii="宋体" w:hAnsi="宋体"/>
          <w:b/>
          <w:color w:val="auto"/>
          <w:sz w:val="24"/>
          <w:szCs w:val="28"/>
          <w:highlight w:val="none"/>
        </w:rPr>
      </w:pPr>
    </w:p>
    <w:p w14:paraId="6955B02A">
      <w:pPr>
        <w:snapToGrid w:val="0"/>
        <w:spacing w:line="360" w:lineRule="auto"/>
        <w:rPr>
          <w:rFonts w:ascii="宋体" w:hAnsi="宋体"/>
          <w:b/>
          <w:color w:val="auto"/>
          <w:sz w:val="24"/>
          <w:szCs w:val="28"/>
          <w:highlight w:val="none"/>
        </w:rPr>
      </w:pPr>
    </w:p>
    <w:p w14:paraId="5403FCAD">
      <w:pPr>
        <w:rPr>
          <w:color w:val="auto"/>
          <w:highlight w:val="none"/>
        </w:rPr>
      </w:pPr>
    </w:p>
    <w:p w14:paraId="1231717E">
      <w:pPr>
        <w:rPr>
          <w:color w:val="auto"/>
          <w:highlight w:val="none"/>
        </w:rPr>
      </w:pPr>
    </w:p>
    <w:p w14:paraId="45001B72">
      <w:pPr>
        <w:rPr>
          <w:color w:val="auto"/>
          <w:highlight w:val="none"/>
        </w:rPr>
      </w:pPr>
    </w:p>
    <w:p w14:paraId="2B9B63AB">
      <w:pPr>
        <w:rPr>
          <w:color w:val="auto"/>
          <w:highlight w:val="none"/>
        </w:rPr>
      </w:pPr>
    </w:p>
    <w:p w14:paraId="5F61E701">
      <w:pPr>
        <w:rPr>
          <w:color w:val="auto"/>
          <w:highlight w:val="none"/>
        </w:rPr>
      </w:pPr>
    </w:p>
    <w:p w14:paraId="54D2075B">
      <w:pPr>
        <w:rPr>
          <w:color w:val="auto"/>
          <w:highlight w:val="none"/>
        </w:rPr>
      </w:pPr>
    </w:p>
    <w:p w14:paraId="2BEC53B3">
      <w:pPr>
        <w:rPr>
          <w:color w:val="auto"/>
          <w:highlight w:val="none"/>
        </w:rPr>
      </w:pPr>
    </w:p>
    <w:p w14:paraId="25D3181D">
      <w:pPr>
        <w:rPr>
          <w:color w:val="auto"/>
          <w:highlight w:val="none"/>
        </w:rPr>
      </w:pPr>
    </w:p>
    <w:p w14:paraId="10618812">
      <w:pPr>
        <w:rPr>
          <w:color w:val="auto"/>
          <w:highlight w:val="none"/>
        </w:rPr>
      </w:pPr>
    </w:p>
    <w:p w14:paraId="78C27BD1">
      <w:pPr>
        <w:outlineLvl w:val="1"/>
        <w:rPr>
          <w:rFonts w:ascii="宋体" w:hAnsi="宋体" w:cs="宋体"/>
          <w:b/>
          <w:color w:val="auto"/>
          <w:kern w:val="0"/>
          <w:szCs w:val="21"/>
          <w:highlight w:val="none"/>
        </w:rPr>
      </w:pPr>
      <w:r>
        <w:rPr>
          <w:rFonts w:ascii="宋体" w:hAnsi="宋体" w:cs="宋体"/>
          <w:b/>
          <w:color w:val="auto"/>
          <w:kern w:val="0"/>
          <w:szCs w:val="21"/>
          <w:highlight w:val="none"/>
        </w:rPr>
        <w:br w:type="page"/>
      </w:r>
    </w:p>
    <w:p w14:paraId="3F08EC20">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附件：4.授权委托书</w:t>
      </w:r>
    </w:p>
    <w:p w14:paraId="0D1761D2">
      <w:pPr>
        <w:pStyle w:val="55"/>
        <w:spacing w:line="360" w:lineRule="exact"/>
        <w:ind w:firstLine="562"/>
        <w:jc w:val="center"/>
        <w:rPr>
          <w:rFonts w:cs="宋体"/>
          <w:b/>
          <w:color w:val="auto"/>
          <w:sz w:val="28"/>
          <w:szCs w:val="28"/>
          <w:highlight w:val="none"/>
        </w:rPr>
      </w:pPr>
      <w:r>
        <w:rPr>
          <w:rFonts w:hint="eastAsia" w:cs="宋体"/>
          <w:b/>
          <w:color w:val="auto"/>
          <w:sz w:val="28"/>
          <w:szCs w:val="28"/>
          <w:highlight w:val="none"/>
        </w:rPr>
        <w:t>授权委托书</w:t>
      </w:r>
    </w:p>
    <w:p w14:paraId="58BDC2D3">
      <w:pPr>
        <w:adjustRightInd w:val="0"/>
        <w:snapToGrid w:val="0"/>
        <w:spacing w:line="360" w:lineRule="auto"/>
        <w:ind w:firstLine="516" w:firstLineChars="215"/>
        <w:rPr>
          <w:rFonts w:ascii="宋体" w:hAnsi="宋体" w:cs="宋体"/>
          <w:color w:val="auto"/>
          <w:sz w:val="24"/>
          <w:szCs w:val="24"/>
          <w:highlight w:val="none"/>
        </w:rPr>
      </w:pPr>
    </w:p>
    <w:p w14:paraId="691A6F34">
      <w:pPr>
        <w:adjustRightInd w:val="0"/>
        <w:snapToGrid w:val="0"/>
        <w:spacing w:line="360" w:lineRule="auto"/>
        <w:ind w:firstLine="451" w:firstLineChars="215"/>
        <w:rPr>
          <w:rFonts w:ascii="宋体" w:hAnsi="宋体" w:cs="宋体"/>
          <w:color w:val="auto"/>
          <w:szCs w:val="21"/>
          <w:highlight w:val="none"/>
        </w:rPr>
      </w:pPr>
      <w:r>
        <w:rPr>
          <w:rFonts w:hint="eastAsia" w:ascii="宋体" w:hAnsi="宋体" w:cs="宋体"/>
          <w:color w:val="auto"/>
          <w:szCs w:val="21"/>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083FCDAB">
      <w:pPr>
        <w:adjustRightInd w:val="0"/>
        <w:snapToGrid w:val="0"/>
        <w:spacing w:line="360" w:lineRule="auto"/>
        <w:ind w:firstLine="397"/>
        <w:rPr>
          <w:rFonts w:ascii="宋体" w:hAnsi="宋体" w:cs="宋体"/>
          <w:color w:val="auto"/>
          <w:szCs w:val="21"/>
          <w:highlight w:val="none"/>
        </w:rPr>
      </w:pPr>
      <w:r>
        <w:rPr>
          <w:rFonts w:hint="eastAsia" w:ascii="宋体" w:hAnsi="宋体" w:cs="宋体"/>
          <w:color w:val="auto"/>
          <w:szCs w:val="21"/>
          <w:highlight w:val="none"/>
        </w:rPr>
        <w:t>本授权书于__________年_______月________日签字生效，特此声明。</w:t>
      </w:r>
    </w:p>
    <w:p w14:paraId="76425468">
      <w:pPr>
        <w:adjustRightInd w:val="0"/>
        <w:snapToGrid w:val="0"/>
        <w:spacing w:line="360" w:lineRule="auto"/>
        <w:rPr>
          <w:rFonts w:ascii="宋体" w:hAnsi="宋体" w:cs="宋体"/>
          <w:color w:val="auto"/>
          <w:sz w:val="24"/>
          <w:szCs w:val="24"/>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3C51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3C36F36">
            <w:pPr>
              <w:spacing w:line="360" w:lineRule="exact"/>
              <w:rPr>
                <w:color w:val="auto"/>
                <w:highlight w:val="none"/>
              </w:rPr>
            </w:pPr>
            <w:r>
              <w:rPr>
                <w:rFonts w:hint="eastAsia" w:ascii="宋体" w:hAnsi="宋体" w:cs="宋体"/>
                <w:color w:val="auto"/>
                <w:szCs w:val="21"/>
                <w:highlight w:val="none"/>
              </w:rPr>
              <w:t xml:space="preserve">法定代表人签字或盖章：  </w:t>
            </w:r>
          </w:p>
          <w:p w14:paraId="0EEF9152">
            <w:pPr>
              <w:spacing w:line="360" w:lineRule="exact"/>
              <w:rPr>
                <w:color w:val="auto"/>
                <w:highlight w:val="none"/>
              </w:rPr>
            </w:pPr>
            <w:r>
              <w:rPr>
                <w:rFonts w:hint="eastAsia" w:ascii="宋体" w:hAnsi="宋体" w:cs="宋体"/>
                <w:color w:val="auto"/>
                <w:szCs w:val="21"/>
                <w:highlight w:val="none"/>
              </w:rPr>
              <w:t xml:space="preserve">职务：                  </w:t>
            </w:r>
          </w:p>
          <w:p w14:paraId="0F9B39BF">
            <w:pPr>
              <w:spacing w:line="360" w:lineRule="exact"/>
              <w:rPr>
                <w:color w:val="auto"/>
                <w:highlight w:val="none"/>
              </w:rPr>
            </w:pPr>
            <w:r>
              <w:rPr>
                <w:rFonts w:hint="eastAsia" w:ascii="宋体" w:hAnsi="宋体" w:cs="宋体"/>
                <w:color w:val="auto"/>
                <w:szCs w:val="21"/>
                <w:highlight w:val="none"/>
              </w:rPr>
              <w:t xml:space="preserve">单位名称：              </w:t>
            </w:r>
          </w:p>
          <w:p w14:paraId="11229F6A">
            <w:pPr>
              <w:spacing w:line="360" w:lineRule="exact"/>
              <w:rPr>
                <w:color w:val="auto"/>
                <w:highlight w:val="none"/>
              </w:rPr>
            </w:pPr>
            <w:r>
              <w:rPr>
                <w:rFonts w:hint="eastAsia" w:ascii="宋体" w:hAnsi="宋体" w:cs="宋体"/>
                <w:color w:val="auto"/>
                <w:szCs w:val="21"/>
                <w:highlight w:val="none"/>
              </w:rPr>
              <w:t>身份证号码：</w:t>
            </w:r>
          </w:p>
          <w:p w14:paraId="7818B57C">
            <w:pPr>
              <w:adjustRightInd w:val="0"/>
              <w:snapToGrid w:val="0"/>
              <w:spacing w:line="360" w:lineRule="exact"/>
              <w:rPr>
                <w:rFonts w:ascii="宋体" w:hAnsi="宋体" w:cs="宋体"/>
                <w:color w:val="auto"/>
                <w:szCs w:val="21"/>
                <w:highlight w:val="none"/>
              </w:rPr>
            </w:pPr>
          </w:p>
        </w:tc>
        <w:tc>
          <w:tcPr>
            <w:tcW w:w="4262" w:type="dxa"/>
          </w:tcPr>
          <w:p w14:paraId="7F093672">
            <w:pPr>
              <w:spacing w:line="360" w:lineRule="exact"/>
              <w:rPr>
                <w:color w:val="auto"/>
                <w:highlight w:val="none"/>
              </w:rPr>
            </w:pPr>
            <w:r>
              <w:rPr>
                <w:rFonts w:hint="eastAsia" w:ascii="宋体" w:hAnsi="宋体" w:cs="宋体"/>
                <w:color w:val="auto"/>
                <w:szCs w:val="21"/>
                <w:highlight w:val="none"/>
              </w:rPr>
              <w:t>日期：</w:t>
            </w:r>
          </w:p>
          <w:p w14:paraId="294E1898">
            <w:pPr>
              <w:spacing w:line="360" w:lineRule="exact"/>
              <w:rPr>
                <w:color w:val="auto"/>
                <w:highlight w:val="none"/>
              </w:rPr>
            </w:pPr>
            <w:r>
              <w:rPr>
                <w:rFonts w:hint="eastAsia" w:ascii="宋体" w:hAnsi="宋体" w:cs="宋体"/>
                <w:color w:val="auto"/>
                <w:szCs w:val="21"/>
                <w:highlight w:val="none"/>
              </w:rPr>
              <w:t>联系电话：</w:t>
            </w:r>
          </w:p>
          <w:p w14:paraId="04D5F7C8">
            <w:pPr>
              <w:spacing w:line="360" w:lineRule="exact"/>
              <w:rPr>
                <w:color w:val="auto"/>
                <w:highlight w:val="none"/>
              </w:rPr>
            </w:pPr>
            <w:r>
              <w:rPr>
                <w:rFonts w:hint="eastAsia" w:ascii="宋体" w:hAnsi="宋体" w:cs="宋体"/>
                <w:color w:val="auto"/>
                <w:szCs w:val="21"/>
                <w:highlight w:val="none"/>
              </w:rPr>
              <w:t>地址：</w:t>
            </w:r>
          </w:p>
          <w:p w14:paraId="580E4F98">
            <w:pPr>
              <w:adjustRightInd w:val="0"/>
              <w:snapToGrid w:val="0"/>
              <w:spacing w:line="360" w:lineRule="exact"/>
              <w:rPr>
                <w:rFonts w:ascii="宋体" w:hAnsi="宋体" w:cs="宋体"/>
                <w:color w:val="auto"/>
                <w:szCs w:val="21"/>
                <w:highlight w:val="none"/>
              </w:rPr>
            </w:pPr>
          </w:p>
        </w:tc>
      </w:tr>
      <w:tr w14:paraId="4B8C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08BBAB7">
            <w:pPr>
              <w:spacing w:line="360" w:lineRule="exact"/>
              <w:rPr>
                <w:color w:val="auto"/>
                <w:highlight w:val="none"/>
              </w:rPr>
            </w:pPr>
            <w:r>
              <w:rPr>
                <w:rFonts w:hint="eastAsia" w:ascii="宋体" w:hAnsi="宋体" w:cs="宋体"/>
                <w:color w:val="auto"/>
                <w:szCs w:val="21"/>
                <w:highlight w:val="none"/>
              </w:rPr>
              <w:t>委托代理人（被授权人）签字或盖章：</w:t>
            </w:r>
          </w:p>
          <w:p w14:paraId="1D2504D3">
            <w:pPr>
              <w:spacing w:line="360" w:lineRule="exact"/>
              <w:rPr>
                <w:color w:val="auto"/>
                <w:highlight w:val="none"/>
              </w:rPr>
            </w:pPr>
            <w:r>
              <w:rPr>
                <w:rFonts w:hint="eastAsia" w:ascii="宋体" w:hAnsi="宋体" w:cs="宋体"/>
                <w:color w:val="auto"/>
                <w:szCs w:val="21"/>
                <w:highlight w:val="none"/>
              </w:rPr>
              <w:t xml:space="preserve">职务：                            </w:t>
            </w:r>
          </w:p>
          <w:p w14:paraId="29181350">
            <w:pPr>
              <w:spacing w:line="360" w:lineRule="exact"/>
              <w:rPr>
                <w:color w:val="auto"/>
                <w:highlight w:val="none"/>
              </w:rPr>
            </w:pPr>
            <w:r>
              <w:rPr>
                <w:rFonts w:hint="eastAsia" w:ascii="宋体" w:hAnsi="宋体" w:cs="宋体"/>
                <w:color w:val="auto"/>
                <w:szCs w:val="21"/>
                <w:highlight w:val="none"/>
              </w:rPr>
              <w:t xml:space="preserve">单位名称：                        </w:t>
            </w:r>
          </w:p>
          <w:p w14:paraId="4732DA81">
            <w:pPr>
              <w:spacing w:line="360" w:lineRule="exact"/>
              <w:rPr>
                <w:color w:val="auto"/>
                <w:highlight w:val="none"/>
              </w:rPr>
            </w:pPr>
            <w:r>
              <w:rPr>
                <w:rFonts w:hint="eastAsia" w:ascii="宋体" w:hAnsi="宋体" w:cs="宋体"/>
                <w:color w:val="auto"/>
                <w:szCs w:val="21"/>
                <w:highlight w:val="none"/>
              </w:rPr>
              <w:t>身份证号码：</w:t>
            </w:r>
          </w:p>
          <w:p w14:paraId="5F68EA4B">
            <w:pPr>
              <w:adjustRightInd w:val="0"/>
              <w:snapToGrid w:val="0"/>
              <w:spacing w:line="360" w:lineRule="exact"/>
              <w:rPr>
                <w:rFonts w:ascii="宋体" w:hAnsi="宋体" w:cs="宋体"/>
                <w:color w:val="auto"/>
                <w:szCs w:val="21"/>
                <w:highlight w:val="none"/>
              </w:rPr>
            </w:pPr>
          </w:p>
        </w:tc>
        <w:tc>
          <w:tcPr>
            <w:tcW w:w="4262" w:type="dxa"/>
          </w:tcPr>
          <w:p w14:paraId="0A3B1E1D">
            <w:pPr>
              <w:spacing w:line="360" w:lineRule="exact"/>
              <w:rPr>
                <w:color w:val="auto"/>
                <w:highlight w:val="none"/>
              </w:rPr>
            </w:pPr>
            <w:r>
              <w:rPr>
                <w:rFonts w:hint="eastAsia" w:ascii="宋体" w:hAnsi="宋体" w:cs="宋体"/>
                <w:color w:val="auto"/>
                <w:szCs w:val="21"/>
                <w:highlight w:val="none"/>
              </w:rPr>
              <w:t>日期：</w:t>
            </w:r>
          </w:p>
          <w:p w14:paraId="081AE09C">
            <w:pPr>
              <w:spacing w:line="360" w:lineRule="exact"/>
              <w:rPr>
                <w:color w:val="auto"/>
                <w:highlight w:val="none"/>
              </w:rPr>
            </w:pPr>
            <w:r>
              <w:rPr>
                <w:rFonts w:hint="eastAsia" w:ascii="宋体" w:hAnsi="宋体" w:cs="宋体"/>
                <w:color w:val="auto"/>
                <w:szCs w:val="21"/>
                <w:highlight w:val="none"/>
              </w:rPr>
              <w:t>联系电话：</w:t>
            </w:r>
          </w:p>
          <w:p w14:paraId="0676EC5B">
            <w:pPr>
              <w:spacing w:line="360" w:lineRule="exact"/>
              <w:rPr>
                <w:color w:val="auto"/>
                <w:highlight w:val="none"/>
              </w:rPr>
            </w:pPr>
            <w:r>
              <w:rPr>
                <w:rFonts w:hint="eastAsia" w:ascii="宋体" w:hAnsi="宋体" w:cs="宋体"/>
                <w:color w:val="auto"/>
                <w:szCs w:val="21"/>
                <w:highlight w:val="none"/>
              </w:rPr>
              <w:t>地址：</w:t>
            </w:r>
          </w:p>
          <w:p w14:paraId="3CC4E004">
            <w:pPr>
              <w:adjustRightInd w:val="0"/>
              <w:snapToGrid w:val="0"/>
              <w:spacing w:line="360" w:lineRule="exact"/>
              <w:rPr>
                <w:rFonts w:ascii="宋体" w:hAnsi="宋体" w:cs="宋体"/>
                <w:color w:val="auto"/>
                <w:szCs w:val="21"/>
                <w:highlight w:val="none"/>
              </w:rPr>
            </w:pPr>
          </w:p>
        </w:tc>
      </w:tr>
      <w:tr w14:paraId="0E14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5434762">
            <w:pPr>
              <w:spacing w:line="360" w:lineRule="exact"/>
              <w:rPr>
                <w:color w:val="auto"/>
                <w:highlight w:val="none"/>
              </w:rPr>
            </w:pPr>
            <w:r>
              <w:rPr>
                <w:rFonts w:hint="eastAsia" w:ascii="宋体" w:hAnsi="宋体" w:cs="宋体"/>
                <w:color w:val="auto"/>
                <w:szCs w:val="21"/>
                <w:highlight w:val="none"/>
              </w:rPr>
              <w:t xml:space="preserve">供应商公章： </w:t>
            </w:r>
          </w:p>
          <w:p w14:paraId="46C337E3">
            <w:pPr>
              <w:spacing w:line="360" w:lineRule="exact"/>
              <w:rPr>
                <w:color w:val="auto"/>
                <w:highlight w:val="none"/>
              </w:rPr>
            </w:pPr>
            <w:r>
              <w:rPr>
                <w:rFonts w:hint="eastAsia" w:ascii="宋体" w:hAnsi="宋体" w:cs="宋体"/>
                <w:color w:val="auto"/>
                <w:szCs w:val="21"/>
                <w:highlight w:val="none"/>
              </w:rPr>
              <w:t xml:space="preserve">地址：         </w:t>
            </w:r>
          </w:p>
          <w:p w14:paraId="60B557A8">
            <w:pPr>
              <w:spacing w:line="360" w:lineRule="exact"/>
              <w:rPr>
                <w:color w:val="auto"/>
                <w:highlight w:val="none"/>
              </w:rPr>
            </w:pPr>
            <w:r>
              <w:rPr>
                <w:rFonts w:hint="eastAsia" w:ascii="宋体" w:hAnsi="宋体" w:cs="宋体"/>
                <w:color w:val="auto"/>
                <w:szCs w:val="21"/>
                <w:highlight w:val="none"/>
              </w:rPr>
              <w:t xml:space="preserve">传真：         </w:t>
            </w:r>
          </w:p>
          <w:p w14:paraId="26865464">
            <w:pPr>
              <w:spacing w:line="360" w:lineRule="exact"/>
              <w:rPr>
                <w:color w:val="auto"/>
                <w:highlight w:val="none"/>
              </w:rPr>
            </w:pPr>
            <w:r>
              <w:rPr>
                <w:rFonts w:hint="eastAsia" w:ascii="宋体" w:hAnsi="宋体" w:cs="宋体"/>
                <w:color w:val="auto"/>
                <w:szCs w:val="21"/>
                <w:highlight w:val="none"/>
              </w:rPr>
              <w:t>开户行：</w:t>
            </w:r>
          </w:p>
          <w:p w14:paraId="190EA58B">
            <w:pPr>
              <w:spacing w:line="360" w:lineRule="exact"/>
              <w:rPr>
                <w:color w:val="auto"/>
                <w:highlight w:val="none"/>
              </w:rPr>
            </w:pPr>
            <w:r>
              <w:rPr>
                <w:rFonts w:hint="eastAsia" w:ascii="宋体" w:hAnsi="宋体" w:cs="宋体"/>
                <w:color w:val="auto"/>
                <w:szCs w:val="21"/>
                <w:highlight w:val="none"/>
              </w:rPr>
              <w:t>帐号：</w:t>
            </w:r>
          </w:p>
          <w:p w14:paraId="443F9B5B">
            <w:pPr>
              <w:adjustRightInd w:val="0"/>
              <w:snapToGrid w:val="0"/>
              <w:spacing w:line="360" w:lineRule="exact"/>
              <w:rPr>
                <w:rFonts w:ascii="宋体" w:hAnsi="宋体" w:cs="宋体"/>
                <w:color w:val="auto"/>
                <w:szCs w:val="21"/>
                <w:highlight w:val="none"/>
              </w:rPr>
            </w:pPr>
          </w:p>
        </w:tc>
        <w:tc>
          <w:tcPr>
            <w:tcW w:w="4262" w:type="dxa"/>
          </w:tcPr>
          <w:p w14:paraId="27DD2744">
            <w:pPr>
              <w:spacing w:line="360" w:lineRule="exact"/>
              <w:rPr>
                <w:color w:val="auto"/>
                <w:highlight w:val="none"/>
              </w:rPr>
            </w:pPr>
            <w:r>
              <w:rPr>
                <w:rFonts w:hint="eastAsia" w:ascii="宋体" w:hAnsi="宋体" w:cs="宋体"/>
                <w:color w:val="auto"/>
                <w:szCs w:val="21"/>
                <w:highlight w:val="none"/>
              </w:rPr>
              <w:t>电话：</w:t>
            </w:r>
          </w:p>
          <w:p w14:paraId="2B7F3488">
            <w:pPr>
              <w:spacing w:line="360" w:lineRule="exact"/>
              <w:rPr>
                <w:color w:val="auto"/>
                <w:highlight w:val="none"/>
              </w:rPr>
            </w:pPr>
            <w:r>
              <w:rPr>
                <w:rFonts w:hint="eastAsia" w:ascii="宋体" w:hAnsi="宋体" w:cs="宋体"/>
                <w:color w:val="auto"/>
                <w:szCs w:val="21"/>
                <w:highlight w:val="none"/>
              </w:rPr>
              <w:t>邮编：</w:t>
            </w:r>
          </w:p>
          <w:p w14:paraId="4D1FC734">
            <w:pPr>
              <w:adjustRightInd w:val="0"/>
              <w:snapToGrid w:val="0"/>
              <w:spacing w:line="360" w:lineRule="exact"/>
              <w:rPr>
                <w:rFonts w:ascii="宋体" w:hAnsi="宋体" w:cs="宋体"/>
                <w:color w:val="auto"/>
                <w:szCs w:val="21"/>
                <w:highlight w:val="none"/>
              </w:rPr>
            </w:pPr>
          </w:p>
        </w:tc>
      </w:tr>
    </w:tbl>
    <w:p w14:paraId="508F9584">
      <w:pPr>
        <w:spacing w:line="400" w:lineRule="exact"/>
        <w:rPr>
          <w:rFonts w:ascii="宋体" w:hAnsi="宋体"/>
          <w:color w:val="auto"/>
          <w:szCs w:val="21"/>
          <w:highlight w:val="none"/>
        </w:rPr>
      </w:pPr>
      <w:r>
        <w:rPr>
          <w:rFonts w:hint="eastAsia" w:ascii="宋体" w:hAnsi="宋体"/>
          <w:color w:val="auto"/>
          <w:szCs w:val="21"/>
          <w:highlight w:val="none"/>
        </w:rPr>
        <w:t>代理人身份证</w:t>
      </w:r>
    </w:p>
    <w:p w14:paraId="4554C4F9">
      <w:pPr>
        <w:spacing w:line="360" w:lineRule="auto"/>
        <w:rPr>
          <w:rFonts w:ascii="宋体" w:hAnsi="宋体" w:cs="宋体"/>
          <w:color w:val="auto"/>
          <w:sz w:val="24"/>
          <w:szCs w:val="24"/>
          <w:highlight w:val="none"/>
        </w:rPr>
      </w:pPr>
      <w:r>
        <w:rPr>
          <w:rFonts w:hint="eastAsia" w:ascii="宋体" w:hAnsi="宋体"/>
          <w:color w:val="auto"/>
          <w:szCs w:val="21"/>
          <w:highlight w:val="none"/>
        </w:rPr>
        <w:t>（双面复印件）粘贴处</w:t>
      </w:r>
    </w:p>
    <w:p w14:paraId="029EB6C6">
      <w:pPr>
        <w:spacing w:line="360" w:lineRule="auto"/>
        <w:rPr>
          <w:rFonts w:ascii="宋体" w:hAnsi="宋体" w:cs="宋体"/>
          <w:color w:val="auto"/>
          <w:sz w:val="24"/>
          <w:szCs w:val="24"/>
          <w:highlight w:val="none"/>
        </w:rPr>
      </w:pPr>
    </w:p>
    <w:p w14:paraId="2C9FBC31">
      <w:pPr>
        <w:spacing w:line="360" w:lineRule="auto"/>
        <w:rPr>
          <w:rFonts w:ascii="宋体" w:hAnsi="宋体" w:cs="宋体"/>
          <w:color w:val="auto"/>
          <w:szCs w:val="21"/>
          <w:highlight w:val="none"/>
        </w:rPr>
      </w:pPr>
    </w:p>
    <w:p w14:paraId="7A0B180A">
      <w:pPr>
        <w:rPr>
          <w:rFonts w:ascii="宋体" w:hAnsi="宋体" w:cs="宋体"/>
          <w:color w:val="auto"/>
          <w:szCs w:val="21"/>
          <w:highlight w:val="none"/>
        </w:rPr>
      </w:pPr>
    </w:p>
    <w:p w14:paraId="03067005">
      <w:pPr>
        <w:widowControl/>
        <w:snapToGrid w:val="0"/>
        <w:spacing w:line="360" w:lineRule="auto"/>
        <w:ind w:right="-308"/>
        <w:jc w:val="left"/>
        <w:rPr>
          <w:rFonts w:ascii="宋体" w:hAnsi="宋体" w:cs="宋体"/>
          <w:b/>
          <w:color w:val="auto"/>
          <w:kern w:val="0"/>
          <w:szCs w:val="21"/>
          <w:highlight w:val="none"/>
        </w:rPr>
      </w:pPr>
      <w:r>
        <w:rPr>
          <w:rFonts w:ascii="宋体" w:hAnsi="宋体" w:cs="宋体"/>
          <w:b/>
          <w:color w:val="auto"/>
          <w:kern w:val="0"/>
          <w:szCs w:val="21"/>
          <w:highlight w:val="none"/>
        </w:rPr>
        <w:br w:type="page"/>
      </w:r>
    </w:p>
    <w:p w14:paraId="73262B12">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附件：5.报价一览表</w:t>
      </w:r>
    </w:p>
    <w:p w14:paraId="035E9628">
      <w:pPr>
        <w:ind w:firstLine="309"/>
        <w:jc w:val="center"/>
        <w:rPr>
          <w:rFonts w:ascii="宋体" w:hAnsi="宋体"/>
          <w:color w:val="auto"/>
          <w:sz w:val="28"/>
          <w:szCs w:val="28"/>
          <w:highlight w:val="none"/>
        </w:rPr>
      </w:pPr>
      <w:r>
        <w:rPr>
          <w:rFonts w:hint="eastAsia" w:ascii="宋体" w:hAnsi="宋体"/>
          <w:b/>
          <w:color w:val="auto"/>
          <w:sz w:val="28"/>
          <w:szCs w:val="28"/>
          <w:highlight w:val="none"/>
        </w:rPr>
        <w:t>报价一览表</w:t>
      </w:r>
    </w:p>
    <w:p w14:paraId="52968E0A">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供应商（公章）：</w:t>
      </w:r>
    </w:p>
    <w:tbl>
      <w:tblPr>
        <w:tblStyle w:val="20"/>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6A2D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301E3E6F">
            <w:pPr>
              <w:jc w:val="center"/>
              <w:rPr>
                <w:rFonts w:ascii="宋体" w:hAnsi="宋体"/>
                <w:color w:val="auto"/>
                <w:szCs w:val="21"/>
                <w:highlight w:val="none"/>
              </w:rPr>
            </w:pPr>
            <w:r>
              <w:rPr>
                <w:rFonts w:hint="eastAsia" w:ascii="宋体" w:hAnsi="宋体"/>
                <w:color w:val="auto"/>
                <w:szCs w:val="21"/>
                <w:highlight w:val="none"/>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4AD61C20">
            <w:pPr>
              <w:jc w:val="center"/>
              <w:rPr>
                <w:rFonts w:ascii="宋体" w:hAnsi="宋体"/>
                <w:color w:val="auto"/>
                <w:szCs w:val="21"/>
                <w:highlight w:val="none"/>
              </w:rPr>
            </w:pPr>
          </w:p>
        </w:tc>
      </w:tr>
      <w:tr w14:paraId="2185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393A216">
            <w:pPr>
              <w:jc w:val="center"/>
              <w:rPr>
                <w:rFonts w:ascii="宋体" w:hAnsi="宋体"/>
                <w:color w:val="auto"/>
                <w:szCs w:val="21"/>
                <w:highlight w:val="none"/>
              </w:rPr>
            </w:pPr>
            <w:r>
              <w:rPr>
                <w:rFonts w:hint="eastAsia" w:ascii="宋体" w:hAnsi="宋体"/>
                <w:color w:val="auto"/>
                <w:szCs w:val="21"/>
                <w:highlight w:val="none"/>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4A6A67A5">
            <w:pPr>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大写：人民币              元</w:t>
            </w:r>
          </w:p>
        </w:tc>
      </w:tr>
      <w:tr w14:paraId="0872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038BDDE0">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服务期限</w:t>
            </w:r>
          </w:p>
        </w:tc>
        <w:tc>
          <w:tcPr>
            <w:tcW w:w="5955" w:type="dxa"/>
            <w:tcBorders>
              <w:top w:val="single" w:color="auto" w:sz="4" w:space="0"/>
              <w:left w:val="single" w:color="auto" w:sz="4" w:space="0"/>
              <w:bottom w:val="single" w:color="auto" w:sz="4" w:space="0"/>
              <w:right w:val="single" w:color="auto" w:sz="4" w:space="0"/>
            </w:tcBorders>
            <w:vAlign w:val="center"/>
          </w:tcPr>
          <w:p w14:paraId="2D1EC116">
            <w:pPr>
              <w:jc w:val="center"/>
              <w:rPr>
                <w:rFonts w:ascii="宋体" w:hAnsi="宋体"/>
                <w:color w:val="auto"/>
                <w:szCs w:val="21"/>
                <w:highlight w:val="none"/>
              </w:rPr>
            </w:pPr>
          </w:p>
        </w:tc>
      </w:tr>
    </w:tbl>
    <w:p w14:paraId="2194689F">
      <w:pPr>
        <w:rPr>
          <w:rFonts w:ascii="宋体" w:hAnsi="宋体"/>
          <w:color w:val="auto"/>
          <w:szCs w:val="21"/>
          <w:highlight w:val="none"/>
        </w:rPr>
      </w:pPr>
    </w:p>
    <w:p w14:paraId="74C7F047">
      <w:pPr>
        <w:rPr>
          <w:rFonts w:ascii="宋体" w:hAnsi="宋体"/>
          <w:color w:val="auto"/>
          <w:szCs w:val="21"/>
          <w:highlight w:val="none"/>
        </w:rPr>
      </w:pPr>
      <w:r>
        <w:rPr>
          <w:rFonts w:hint="eastAsia" w:ascii="宋体" w:hAnsi="宋体"/>
          <w:color w:val="auto"/>
          <w:szCs w:val="21"/>
          <w:highlight w:val="none"/>
        </w:rPr>
        <w:t>法定代表人或代理人（签字或盖章）：</w:t>
      </w:r>
    </w:p>
    <w:p w14:paraId="2198DE59">
      <w:pPr>
        <w:pStyle w:val="82"/>
        <w:spacing w:line="360" w:lineRule="exact"/>
        <w:ind w:firstLine="4620"/>
        <w:jc w:val="right"/>
        <w:rPr>
          <w:rFonts w:hAnsi="宋体"/>
          <w:color w:val="auto"/>
          <w:sz w:val="21"/>
          <w:szCs w:val="21"/>
          <w:highlight w:val="none"/>
        </w:rPr>
      </w:pPr>
      <w:r>
        <w:rPr>
          <w:rFonts w:hint="eastAsia" w:hAnsi="宋体" w:eastAsia="宋体"/>
          <w:color w:val="auto"/>
          <w:sz w:val="21"/>
          <w:szCs w:val="21"/>
          <w:highlight w:val="none"/>
        </w:rPr>
        <w:t>年     月     日</w:t>
      </w:r>
      <w:r>
        <w:rPr>
          <w:rFonts w:hint="eastAsia" w:hAnsi="宋体"/>
          <w:color w:val="auto"/>
          <w:sz w:val="21"/>
          <w:szCs w:val="21"/>
          <w:highlight w:val="none"/>
        </w:rPr>
        <w:t xml:space="preserve"> </w:t>
      </w:r>
    </w:p>
    <w:p w14:paraId="562857D0">
      <w:pPr>
        <w:spacing w:line="360" w:lineRule="auto"/>
        <w:jc w:val="center"/>
        <w:rPr>
          <w:rFonts w:ascii="宋体" w:hAnsi="宋体"/>
          <w:b/>
          <w:color w:val="auto"/>
          <w:szCs w:val="21"/>
          <w:highlight w:val="none"/>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3702AEB1">
      <w:pPr>
        <w:snapToGrid w:val="0"/>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附件：6.质保</w:t>
      </w:r>
      <w:r>
        <w:rPr>
          <w:rFonts w:ascii="宋体" w:hAnsi="宋体" w:cs="宋体"/>
          <w:b/>
          <w:color w:val="auto"/>
          <w:kern w:val="0"/>
          <w:szCs w:val="21"/>
          <w:highlight w:val="none"/>
        </w:rPr>
        <w:t>及售后</w:t>
      </w:r>
      <w:r>
        <w:rPr>
          <w:rFonts w:hint="eastAsia" w:ascii="宋体" w:hAnsi="宋体" w:cs="宋体"/>
          <w:b/>
          <w:color w:val="auto"/>
          <w:kern w:val="0"/>
          <w:szCs w:val="21"/>
          <w:highlight w:val="none"/>
        </w:rPr>
        <w:t>服务承诺书</w:t>
      </w:r>
    </w:p>
    <w:p w14:paraId="1CA14336">
      <w:pPr>
        <w:jc w:val="center"/>
        <w:rPr>
          <w:b/>
          <w:color w:val="auto"/>
          <w:sz w:val="28"/>
          <w:szCs w:val="28"/>
          <w:highlight w:val="none"/>
        </w:rPr>
      </w:pPr>
    </w:p>
    <w:p w14:paraId="404E196A">
      <w:pPr>
        <w:jc w:val="center"/>
        <w:rPr>
          <w:b/>
          <w:color w:val="auto"/>
          <w:sz w:val="28"/>
          <w:szCs w:val="28"/>
          <w:highlight w:val="none"/>
        </w:rPr>
      </w:pPr>
      <w:r>
        <w:rPr>
          <w:rFonts w:hint="eastAsia"/>
          <w:b/>
          <w:color w:val="auto"/>
          <w:sz w:val="28"/>
          <w:szCs w:val="28"/>
          <w:highlight w:val="none"/>
        </w:rPr>
        <w:t>质保</w:t>
      </w:r>
      <w:r>
        <w:rPr>
          <w:b/>
          <w:color w:val="auto"/>
          <w:sz w:val="28"/>
          <w:szCs w:val="28"/>
          <w:highlight w:val="none"/>
        </w:rPr>
        <w:t>及售后</w:t>
      </w:r>
      <w:r>
        <w:rPr>
          <w:rFonts w:hint="eastAsia"/>
          <w:b/>
          <w:color w:val="auto"/>
          <w:sz w:val="28"/>
          <w:szCs w:val="28"/>
          <w:highlight w:val="none"/>
        </w:rPr>
        <w:t>服务承诺书</w:t>
      </w:r>
    </w:p>
    <w:p w14:paraId="5C423588">
      <w:pPr>
        <w:spacing w:line="360" w:lineRule="auto"/>
        <w:rPr>
          <w:rFonts w:ascii="宋体" w:hAnsi="宋体" w:cs="宋体"/>
          <w:color w:val="auto"/>
          <w:sz w:val="24"/>
          <w:szCs w:val="24"/>
          <w:highlight w:val="none"/>
        </w:rPr>
      </w:pPr>
    </w:p>
    <w:p w14:paraId="6AE908E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服务承诺如下：</w:t>
      </w:r>
    </w:p>
    <w:p w14:paraId="6FE4171C">
      <w:pPr>
        <w:spacing w:line="360" w:lineRule="auto"/>
        <w:rPr>
          <w:rFonts w:ascii="宋体" w:hAnsi="宋体" w:cs="宋体"/>
          <w:color w:val="auto"/>
          <w:sz w:val="24"/>
          <w:szCs w:val="24"/>
          <w:highlight w:val="none"/>
        </w:rPr>
      </w:pPr>
    </w:p>
    <w:p w14:paraId="34374E48">
      <w:pPr>
        <w:spacing w:line="360" w:lineRule="auto"/>
        <w:rPr>
          <w:rFonts w:ascii="宋体" w:hAnsi="宋体" w:cs="宋体"/>
          <w:color w:val="auto"/>
          <w:sz w:val="24"/>
          <w:szCs w:val="24"/>
          <w:highlight w:val="none"/>
        </w:rPr>
      </w:pPr>
    </w:p>
    <w:p w14:paraId="2513EBA5">
      <w:pPr>
        <w:spacing w:line="360" w:lineRule="auto"/>
        <w:rPr>
          <w:rFonts w:ascii="宋体" w:hAnsi="宋体" w:cs="宋体"/>
          <w:color w:val="auto"/>
          <w:sz w:val="24"/>
          <w:szCs w:val="24"/>
          <w:highlight w:val="none"/>
        </w:rPr>
      </w:pPr>
    </w:p>
    <w:p w14:paraId="6BE280C3">
      <w:pPr>
        <w:spacing w:line="360" w:lineRule="auto"/>
        <w:rPr>
          <w:rFonts w:ascii="宋体" w:hAnsi="宋体" w:cs="宋体"/>
          <w:color w:val="auto"/>
          <w:sz w:val="24"/>
          <w:szCs w:val="24"/>
          <w:highlight w:val="none"/>
        </w:rPr>
      </w:pPr>
    </w:p>
    <w:p w14:paraId="2D109CE8">
      <w:pPr>
        <w:spacing w:line="360" w:lineRule="exact"/>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olor w:val="auto"/>
          <w:szCs w:val="21"/>
          <w:highlight w:val="none"/>
        </w:rPr>
        <w:t>名称（公章）：</w:t>
      </w:r>
    </w:p>
    <w:p w14:paraId="1422D0AA">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5A6224B6">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37C157BC">
      <w:pPr>
        <w:rPr>
          <w:rFonts w:ascii="宋体" w:hAnsi="宋体" w:cs="宋体"/>
          <w:color w:val="auto"/>
          <w:sz w:val="24"/>
          <w:szCs w:val="24"/>
          <w:highlight w:val="none"/>
        </w:rPr>
      </w:pPr>
    </w:p>
    <w:p w14:paraId="3CB1D830">
      <w:pPr>
        <w:rPr>
          <w:rFonts w:ascii="宋体" w:hAnsi="宋体" w:cs="宋体"/>
          <w:color w:val="auto"/>
          <w:sz w:val="24"/>
          <w:szCs w:val="24"/>
          <w:highlight w:val="none"/>
        </w:rPr>
      </w:pPr>
    </w:p>
    <w:p w14:paraId="4CEEB482">
      <w:pPr>
        <w:rPr>
          <w:rFonts w:ascii="宋体" w:hAnsi="宋体" w:cs="宋体"/>
          <w:color w:val="auto"/>
          <w:sz w:val="24"/>
          <w:szCs w:val="24"/>
          <w:highlight w:val="none"/>
        </w:rPr>
      </w:pPr>
    </w:p>
    <w:p w14:paraId="1FBE516D">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附件：7.偏离表</w:t>
      </w:r>
    </w:p>
    <w:p w14:paraId="49C94390">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偏 离 表</w:t>
      </w:r>
    </w:p>
    <w:p w14:paraId="3B7B9CEA">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供应商应对询价通知书中规定的商务及技术部分给予充分的考虑。为了评审的需要，供应商应将这些条款的异议逐条提出或根据以下要求的格式提出偏离。</w:t>
      </w:r>
    </w:p>
    <w:p w14:paraId="58A4844A">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如无偏离，请在本表格中写“无”，并附在响应文件中。          </w:t>
      </w:r>
    </w:p>
    <w:p w14:paraId="132E9E1A">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0AFA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5E97DE3D">
            <w:pPr>
              <w:rPr>
                <w:rFonts w:ascii="宋体" w:hAnsi="宋体" w:cs="宋体"/>
                <w:color w:val="auto"/>
                <w:szCs w:val="21"/>
                <w:highlight w:val="none"/>
              </w:rPr>
            </w:pPr>
            <w:r>
              <w:rPr>
                <w:rFonts w:hint="eastAsia" w:ascii="宋体" w:hAnsi="宋体" w:cs="宋体"/>
                <w:color w:val="auto"/>
                <w:szCs w:val="21"/>
                <w:highlight w:val="none"/>
              </w:rPr>
              <w:t>章节号</w:t>
            </w:r>
          </w:p>
        </w:tc>
        <w:tc>
          <w:tcPr>
            <w:tcW w:w="2132" w:type="dxa"/>
            <w:vAlign w:val="center"/>
          </w:tcPr>
          <w:p w14:paraId="4A5FCC29">
            <w:pPr>
              <w:rPr>
                <w:rFonts w:ascii="宋体" w:hAnsi="宋体" w:cs="宋体"/>
                <w:color w:val="auto"/>
                <w:szCs w:val="21"/>
                <w:highlight w:val="none"/>
              </w:rPr>
            </w:pPr>
            <w:r>
              <w:rPr>
                <w:rFonts w:hint="eastAsia" w:ascii="宋体" w:hAnsi="宋体" w:cs="宋体"/>
                <w:color w:val="auto"/>
                <w:szCs w:val="21"/>
                <w:highlight w:val="none"/>
              </w:rPr>
              <w:t>供应商的偏离</w:t>
            </w:r>
          </w:p>
        </w:tc>
        <w:tc>
          <w:tcPr>
            <w:tcW w:w="3044" w:type="dxa"/>
            <w:vAlign w:val="center"/>
          </w:tcPr>
          <w:p w14:paraId="70BF9967">
            <w:pPr>
              <w:rPr>
                <w:rFonts w:ascii="宋体" w:hAnsi="宋体" w:cs="宋体"/>
                <w:color w:val="auto"/>
                <w:szCs w:val="21"/>
                <w:highlight w:val="none"/>
              </w:rPr>
            </w:pPr>
            <w:r>
              <w:rPr>
                <w:rFonts w:hint="eastAsia" w:ascii="宋体" w:hAnsi="宋体" w:cs="宋体"/>
                <w:color w:val="auto"/>
                <w:szCs w:val="21"/>
                <w:highlight w:val="none"/>
              </w:rPr>
              <w:t>供应商偏离的理由</w:t>
            </w:r>
          </w:p>
        </w:tc>
        <w:tc>
          <w:tcPr>
            <w:tcW w:w="1440" w:type="dxa"/>
            <w:vAlign w:val="center"/>
          </w:tcPr>
          <w:p w14:paraId="2DCAE104">
            <w:pPr>
              <w:rPr>
                <w:rFonts w:ascii="宋体" w:hAnsi="宋体" w:cs="宋体"/>
                <w:color w:val="auto"/>
                <w:szCs w:val="21"/>
                <w:highlight w:val="none"/>
              </w:rPr>
            </w:pPr>
            <w:r>
              <w:rPr>
                <w:rFonts w:hint="eastAsia" w:ascii="宋体" w:hAnsi="宋体" w:cs="宋体"/>
                <w:color w:val="auto"/>
                <w:szCs w:val="21"/>
                <w:highlight w:val="none"/>
              </w:rPr>
              <w:t>备注</w:t>
            </w:r>
          </w:p>
        </w:tc>
      </w:tr>
      <w:tr w14:paraId="6FC9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B8C496">
            <w:pPr>
              <w:rPr>
                <w:rFonts w:ascii="宋体" w:hAnsi="宋体" w:cs="宋体"/>
                <w:color w:val="auto"/>
                <w:szCs w:val="21"/>
                <w:highlight w:val="none"/>
              </w:rPr>
            </w:pPr>
          </w:p>
        </w:tc>
        <w:tc>
          <w:tcPr>
            <w:tcW w:w="2132" w:type="dxa"/>
          </w:tcPr>
          <w:p w14:paraId="3F569F47">
            <w:pPr>
              <w:rPr>
                <w:rFonts w:ascii="宋体" w:hAnsi="宋体" w:cs="宋体"/>
                <w:color w:val="auto"/>
                <w:szCs w:val="21"/>
                <w:highlight w:val="none"/>
              </w:rPr>
            </w:pPr>
          </w:p>
        </w:tc>
        <w:tc>
          <w:tcPr>
            <w:tcW w:w="3044" w:type="dxa"/>
          </w:tcPr>
          <w:p w14:paraId="3F0497A9">
            <w:pPr>
              <w:rPr>
                <w:rFonts w:ascii="宋体" w:hAnsi="宋体" w:cs="宋体"/>
                <w:color w:val="auto"/>
                <w:szCs w:val="21"/>
                <w:highlight w:val="none"/>
              </w:rPr>
            </w:pPr>
          </w:p>
        </w:tc>
        <w:tc>
          <w:tcPr>
            <w:tcW w:w="1440" w:type="dxa"/>
          </w:tcPr>
          <w:p w14:paraId="288A86DD">
            <w:pPr>
              <w:rPr>
                <w:rFonts w:ascii="宋体" w:hAnsi="宋体" w:cs="宋体"/>
                <w:color w:val="auto"/>
                <w:szCs w:val="21"/>
                <w:highlight w:val="none"/>
              </w:rPr>
            </w:pPr>
          </w:p>
        </w:tc>
      </w:tr>
      <w:tr w14:paraId="7322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058E61F4">
            <w:pPr>
              <w:rPr>
                <w:rFonts w:ascii="宋体" w:hAnsi="宋体" w:cs="宋体"/>
                <w:color w:val="auto"/>
                <w:szCs w:val="21"/>
                <w:highlight w:val="none"/>
              </w:rPr>
            </w:pPr>
          </w:p>
        </w:tc>
        <w:tc>
          <w:tcPr>
            <w:tcW w:w="2132" w:type="dxa"/>
          </w:tcPr>
          <w:p w14:paraId="0EAD6B6C">
            <w:pPr>
              <w:rPr>
                <w:rFonts w:ascii="宋体" w:hAnsi="宋体" w:cs="宋体"/>
                <w:color w:val="auto"/>
                <w:szCs w:val="21"/>
                <w:highlight w:val="none"/>
              </w:rPr>
            </w:pPr>
          </w:p>
        </w:tc>
        <w:tc>
          <w:tcPr>
            <w:tcW w:w="3044" w:type="dxa"/>
          </w:tcPr>
          <w:p w14:paraId="2D6EDA40">
            <w:pPr>
              <w:rPr>
                <w:rFonts w:ascii="宋体" w:hAnsi="宋体" w:cs="宋体"/>
                <w:color w:val="auto"/>
                <w:szCs w:val="21"/>
                <w:highlight w:val="none"/>
              </w:rPr>
            </w:pPr>
          </w:p>
        </w:tc>
        <w:tc>
          <w:tcPr>
            <w:tcW w:w="1440" w:type="dxa"/>
          </w:tcPr>
          <w:p w14:paraId="6311F73E">
            <w:pPr>
              <w:rPr>
                <w:rFonts w:ascii="宋体" w:hAnsi="宋体" w:cs="宋体"/>
                <w:color w:val="auto"/>
                <w:szCs w:val="21"/>
                <w:highlight w:val="none"/>
              </w:rPr>
            </w:pPr>
          </w:p>
        </w:tc>
      </w:tr>
      <w:tr w14:paraId="4F61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08F7E2BE">
            <w:pPr>
              <w:rPr>
                <w:rFonts w:ascii="宋体" w:hAnsi="宋体" w:cs="宋体"/>
                <w:color w:val="auto"/>
                <w:szCs w:val="21"/>
                <w:highlight w:val="none"/>
              </w:rPr>
            </w:pPr>
          </w:p>
        </w:tc>
        <w:tc>
          <w:tcPr>
            <w:tcW w:w="2132" w:type="dxa"/>
          </w:tcPr>
          <w:p w14:paraId="41DD80F9">
            <w:pPr>
              <w:rPr>
                <w:rFonts w:ascii="宋体" w:hAnsi="宋体" w:cs="宋体"/>
                <w:color w:val="auto"/>
                <w:szCs w:val="21"/>
                <w:highlight w:val="none"/>
              </w:rPr>
            </w:pPr>
          </w:p>
        </w:tc>
        <w:tc>
          <w:tcPr>
            <w:tcW w:w="3044" w:type="dxa"/>
          </w:tcPr>
          <w:p w14:paraId="725729FA">
            <w:pPr>
              <w:rPr>
                <w:rFonts w:ascii="宋体" w:hAnsi="宋体" w:cs="宋体"/>
                <w:color w:val="auto"/>
                <w:szCs w:val="21"/>
                <w:highlight w:val="none"/>
              </w:rPr>
            </w:pPr>
          </w:p>
        </w:tc>
        <w:tc>
          <w:tcPr>
            <w:tcW w:w="1440" w:type="dxa"/>
          </w:tcPr>
          <w:p w14:paraId="3484800B">
            <w:pPr>
              <w:rPr>
                <w:rFonts w:ascii="宋体" w:hAnsi="宋体" w:cs="宋体"/>
                <w:color w:val="auto"/>
                <w:szCs w:val="21"/>
                <w:highlight w:val="none"/>
              </w:rPr>
            </w:pPr>
          </w:p>
        </w:tc>
      </w:tr>
    </w:tbl>
    <w:p w14:paraId="77367FF7">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名称（公章）：</w:t>
      </w:r>
    </w:p>
    <w:p w14:paraId="0EBC8048">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703FA5FA">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16522669">
      <w:pPr>
        <w:rPr>
          <w:rFonts w:ascii="宋体" w:hAnsi="宋体" w:cs="宋体"/>
          <w:color w:val="auto"/>
          <w:sz w:val="24"/>
          <w:szCs w:val="24"/>
          <w:highlight w:val="none"/>
        </w:rPr>
      </w:pPr>
    </w:p>
    <w:p w14:paraId="72B8A844">
      <w:pPr>
        <w:rPr>
          <w:rFonts w:ascii="宋体" w:hAnsi="宋体" w:cs="宋体"/>
          <w:color w:val="auto"/>
          <w:sz w:val="24"/>
          <w:szCs w:val="24"/>
          <w:highlight w:val="none"/>
        </w:rPr>
      </w:pPr>
    </w:p>
    <w:p w14:paraId="7A9553CF">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本询价通知书的最终解释权归常州市城投建设工程招标有限公司所有</w:t>
      </w:r>
    </w:p>
    <w:p w14:paraId="54BA5284">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4BDDB">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19</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DF93">
    <w:pPr>
      <w:pStyle w:val="15"/>
      <w:framePr w:wrap="around" w:vAnchor="text" w:hAnchor="margin" w:xAlign="outside" w:y="1"/>
      <w:rPr>
        <w:rStyle w:val="59"/>
      </w:rPr>
    </w:pPr>
    <w:r>
      <w:fldChar w:fldCharType="begin"/>
    </w:r>
    <w:r>
      <w:rPr>
        <w:rStyle w:val="59"/>
      </w:rPr>
      <w:instrText xml:space="preserve">PAGE  </w:instrText>
    </w:r>
    <w:r>
      <w:fldChar w:fldCharType="end"/>
    </w:r>
  </w:p>
  <w:p w14:paraId="4A3E3C05">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1C1A">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045B">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E1B9">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157F3"/>
    <w:rsid w:val="001260CA"/>
    <w:rsid w:val="0013336B"/>
    <w:rsid w:val="0014201D"/>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3E50D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20B1"/>
    <w:rsid w:val="00460611"/>
    <w:rsid w:val="00465E08"/>
    <w:rsid w:val="0047598B"/>
    <w:rsid w:val="00480E53"/>
    <w:rsid w:val="004818D0"/>
    <w:rsid w:val="00490E88"/>
    <w:rsid w:val="004A481D"/>
    <w:rsid w:val="004A58E4"/>
    <w:rsid w:val="004A5FEF"/>
    <w:rsid w:val="004A7C9A"/>
    <w:rsid w:val="004B0B0D"/>
    <w:rsid w:val="004B28C2"/>
    <w:rsid w:val="004B44A4"/>
    <w:rsid w:val="004B4F00"/>
    <w:rsid w:val="004B756D"/>
    <w:rsid w:val="004C4E32"/>
    <w:rsid w:val="004C5F5E"/>
    <w:rsid w:val="004D475D"/>
    <w:rsid w:val="004F006A"/>
    <w:rsid w:val="004F00D9"/>
    <w:rsid w:val="004F27A1"/>
    <w:rsid w:val="004F4654"/>
    <w:rsid w:val="004F544B"/>
    <w:rsid w:val="00501458"/>
    <w:rsid w:val="005035DB"/>
    <w:rsid w:val="00531C40"/>
    <w:rsid w:val="005340D4"/>
    <w:rsid w:val="0054138F"/>
    <w:rsid w:val="0054726A"/>
    <w:rsid w:val="0055296D"/>
    <w:rsid w:val="005541D4"/>
    <w:rsid w:val="005678DF"/>
    <w:rsid w:val="00571CB0"/>
    <w:rsid w:val="00572319"/>
    <w:rsid w:val="00575D0F"/>
    <w:rsid w:val="0057623B"/>
    <w:rsid w:val="0057795C"/>
    <w:rsid w:val="00577EAB"/>
    <w:rsid w:val="00581297"/>
    <w:rsid w:val="005839BB"/>
    <w:rsid w:val="005848CA"/>
    <w:rsid w:val="005866EE"/>
    <w:rsid w:val="00587860"/>
    <w:rsid w:val="005915E8"/>
    <w:rsid w:val="0059382A"/>
    <w:rsid w:val="00593FC3"/>
    <w:rsid w:val="005954A9"/>
    <w:rsid w:val="005A4DE4"/>
    <w:rsid w:val="005A5B31"/>
    <w:rsid w:val="005A62FA"/>
    <w:rsid w:val="005B1EC0"/>
    <w:rsid w:val="005B6228"/>
    <w:rsid w:val="005C2B8C"/>
    <w:rsid w:val="005C4B2D"/>
    <w:rsid w:val="005D37D0"/>
    <w:rsid w:val="005D3CDE"/>
    <w:rsid w:val="005D4ED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325A"/>
    <w:rsid w:val="00A34CB5"/>
    <w:rsid w:val="00A371CF"/>
    <w:rsid w:val="00A4015B"/>
    <w:rsid w:val="00A46065"/>
    <w:rsid w:val="00A477E5"/>
    <w:rsid w:val="00A47923"/>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647FE"/>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1E01D0E"/>
    <w:rsid w:val="06D05B2E"/>
    <w:rsid w:val="07102423"/>
    <w:rsid w:val="0878105A"/>
    <w:rsid w:val="0B00187B"/>
    <w:rsid w:val="0B5C1EEC"/>
    <w:rsid w:val="0B8D2B18"/>
    <w:rsid w:val="0F1961FF"/>
    <w:rsid w:val="10074400"/>
    <w:rsid w:val="10502A85"/>
    <w:rsid w:val="1160654C"/>
    <w:rsid w:val="11E923CA"/>
    <w:rsid w:val="129760EE"/>
    <w:rsid w:val="164F25E9"/>
    <w:rsid w:val="1C691F5E"/>
    <w:rsid w:val="1EEF228B"/>
    <w:rsid w:val="1F4545ED"/>
    <w:rsid w:val="1F961BB7"/>
    <w:rsid w:val="2329337F"/>
    <w:rsid w:val="23422376"/>
    <w:rsid w:val="255C6D0E"/>
    <w:rsid w:val="26DB434F"/>
    <w:rsid w:val="28CB75D1"/>
    <w:rsid w:val="28EE2252"/>
    <w:rsid w:val="295C6E2D"/>
    <w:rsid w:val="29D84B76"/>
    <w:rsid w:val="2AE01F34"/>
    <w:rsid w:val="2C8514E3"/>
    <w:rsid w:val="2DEE2DD7"/>
    <w:rsid w:val="307D1FD3"/>
    <w:rsid w:val="33B421B0"/>
    <w:rsid w:val="3578536D"/>
    <w:rsid w:val="35C443F0"/>
    <w:rsid w:val="35F76E1E"/>
    <w:rsid w:val="36742426"/>
    <w:rsid w:val="3A1439A9"/>
    <w:rsid w:val="3B45740C"/>
    <w:rsid w:val="3CB15833"/>
    <w:rsid w:val="3ECF5E37"/>
    <w:rsid w:val="3F087854"/>
    <w:rsid w:val="404F2310"/>
    <w:rsid w:val="40696FCE"/>
    <w:rsid w:val="42DF0A26"/>
    <w:rsid w:val="457A48DC"/>
    <w:rsid w:val="457D34CB"/>
    <w:rsid w:val="46887D07"/>
    <w:rsid w:val="46B207D1"/>
    <w:rsid w:val="4B50040A"/>
    <w:rsid w:val="4BC14C0A"/>
    <w:rsid w:val="4BF11B8B"/>
    <w:rsid w:val="4C3C0B94"/>
    <w:rsid w:val="4E061402"/>
    <w:rsid w:val="517D13CC"/>
    <w:rsid w:val="51991383"/>
    <w:rsid w:val="561E348E"/>
    <w:rsid w:val="566C6184"/>
    <w:rsid w:val="5B305D11"/>
    <w:rsid w:val="5E8919FE"/>
    <w:rsid w:val="5FB2448F"/>
    <w:rsid w:val="651A43A3"/>
    <w:rsid w:val="67561ABE"/>
    <w:rsid w:val="691A385D"/>
    <w:rsid w:val="69A63917"/>
    <w:rsid w:val="6A405C4B"/>
    <w:rsid w:val="6E943FED"/>
    <w:rsid w:val="6ECD53E2"/>
    <w:rsid w:val="752D11BC"/>
    <w:rsid w:val="756141E1"/>
    <w:rsid w:val="77466F96"/>
    <w:rsid w:val="781F6A99"/>
    <w:rsid w:val="784F47ED"/>
    <w:rsid w:val="7AC64DA8"/>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8"/>
    <w:qFormat/>
    <w:uiPriority w:val="99"/>
    <w:pPr>
      <w:autoSpaceDE w:val="0"/>
      <w:autoSpaceDN w:val="0"/>
      <w:adjustRightInd w:val="0"/>
      <w:ind w:firstLine="420"/>
    </w:pPr>
    <w:rPr>
      <w:rFonts w:ascii="宋体"/>
      <w:sz w:val="24"/>
    </w:rPr>
  </w:style>
  <w:style w:type="paragraph" w:styleId="6">
    <w:name w:val="Document Map"/>
    <w:basedOn w:val="1"/>
    <w:link w:val="39"/>
    <w:unhideWhenUsed/>
    <w:qFormat/>
    <w:uiPriority w:val="99"/>
    <w:rPr>
      <w:rFonts w:ascii="宋体" w:hAnsiTheme="minorHAnsi" w:cstheme="minorBidi"/>
      <w:sz w:val="18"/>
      <w:szCs w:val="18"/>
    </w:rPr>
  </w:style>
  <w:style w:type="paragraph" w:styleId="7">
    <w:name w:val="annotation text"/>
    <w:basedOn w:val="1"/>
    <w:link w:val="36"/>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0"/>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qFormat/>
    <w:uiPriority w:val="99"/>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qFormat/>
    <w:uiPriority w:val="0"/>
  </w:style>
  <w:style w:type="character" w:customStyle="1" w:styleId="33">
    <w:name w:val="标题 1 Char"/>
    <w:basedOn w:val="22"/>
    <w:link w:val="2"/>
    <w:qFormat/>
    <w:uiPriority w:val="0"/>
    <w:rPr>
      <w:rFonts w:ascii="黑体" w:hAnsi="Times New Roman" w:eastAsia="黑体" w:cs="Times New Roman"/>
      <w:sz w:val="52"/>
      <w:szCs w:val="24"/>
    </w:rPr>
  </w:style>
  <w:style w:type="character" w:customStyle="1" w:styleId="34">
    <w:name w:val="标题 2 Char"/>
    <w:basedOn w:val="22"/>
    <w:link w:val="3"/>
    <w:qFormat/>
    <w:uiPriority w:val="0"/>
    <w:rPr>
      <w:rFonts w:ascii="Arial" w:hAnsi="Arial" w:eastAsia="黑体" w:cs="Times New Roman"/>
      <w:b/>
      <w:sz w:val="32"/>
      <w:szCs w:val="20"/>
    </w:rPr>
  </w:style>
  <w:style w:type="character" w:customStyle="1" w:styleId="35">
    <w:name w:val="标题 3 Char"/>
    <w:basedOn w:val="22"/>
    <w:link w:val="4"/>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0"/>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5"/>
    <w:qFormat/>
    <w:uiPriority w:val="99"/>
    <w:rPr>
      <w:rFonts w:ascii="宋体" w:hAnsi="Times New Roman" w:eastAsia="宋体" w:cs="Times New Roman"/>
      <w:kern w:val="2"/>
      <w:sz w:val="24"/>
    </w:rPr>
  </w:style>
  <w:style w:type="character" w:customStyle="1" w:styleId="39">
    <w:name w:val="文档结构图 Char1"/>
    <w:basedOn w:val="22"/>
    <w:link w:val="6"/>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5"/>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qFormat/>
    <w:uiPriority w:val="0"/>
    <w:rPr>
      <w:rFonts w:hint="eastAsia" w:ascii="宋体" w:hAnsi="宋体" w:eastAsia="宋体" w:cs="宋体"/>
      <w:color w:val="000000"/>
      <w:sz w:val="20"/>
      <w:szCs w:val="20"/>
      <w:u w:val="none"/>
    </w:rPr>
  </w:style>
  <w:style w:type="character" w:customStyle="1" w:styleId="69">
    <w:name w:val="font81"/>
    <w:basedOn w:val="22"/>
    <w:qFormat/>
    <w:uiPriority w:val="0"/>
    <w:rPr>
      <w:rFonts w:hint="eastAsia" w:ascii="宋体" w:hAnsi="宋体" w:eastAsia="宋体" w:cs="宋体"/>
      <w:b/>
      <w:color w:val="000000"/>
      <w:sz w:val="22"/>
      <w:szCs w:val="22"/>
      <w:u w:val="none"/>
    </w:rPr>
  </w:style>
  <w:style w:type="character" w:customStyle="1" w:styleId="70">
    <w:name w:val="apple-converted-space"/>
    <w:basedOn w:val="22"/>
    <w:qFormat/>
    <w:uiPriority w:val="0"/>
  </w:style>
  <w:style w:type="character" w:customStyle="1" w:styleId="71">
    <w:name w:val="font21"/>
    <w:basedOn w:val="22"/>
    <w:qFormat/>
    <w:uiPriority w:val="0"/>
    <w:rPr>
      <w:rFonts w:hint="eastAsia" w:ascii="宋体" w:hAnsi="宋体" w:eastAsia="宋体" w:cs="宋体"/>
      <w:color w:val="000000"/>
      <w:sz w:val="20"/>
      <w:szCs w:val="20"/>
      <w:u w:val="none"/>
    </w:rPr>
  </w:style>
  <w:style w:type="character" w:customStyle="1" w:styleId="72">
    <w:name w:val="font71"/>
    <w:basedOn w:val="22"/>
    <w:qFormat/>
    <w:uiPriority w:val="0"/>
    <w:rPr>
      <w:rFonts w:hint="eastAsia" w:ascii="宋体" w:hAnsi="宋体" w:eastAsia="宋体" w:cs="宋体"/>
      <w:color w:val="000000"/>
      <w:sz w:val="20"/>
      <w:szCs w:val="20"/>
      <w:u w:val="none"/>
    </w:rPr>
  </w:style>
  <w:style w:type="character" w:customStyle="1" w:styleId="73">
    <w:name w:val="font61"/>
    <w:basedOn w:val="22"/>
    <w:qFormat/>
    <w:uiPriority w:val="0"/>
    <w:rPr>
      <w:rFonts w:hint="eastAsia" w:ascii="宋体" w:hAnsi="宋体" w:eastAsia="宋体" w:cs="宋体"/>
      <w:b/>
      <w:color w:val="000000"/>
      <w:sz w:val="24"/>
      <w:szCs w:val="24"/>
      <w:u w:val="none"/>
    </w:rPr>
  </w:style>
  <w:style w:type="character" w:customStyle="1" w:styleId="74">
    <w:name w:val="font51"/>
    <w:basedOn w:val="22"/>
    <w:qFormat/>
    <w:uiPriority w:val="0"/>
    <w:rPr>
      <w:rFonts w:hint="eastAsia" w:ascii="宋体" w:hAnsi="宋体" w:eastAsia="宋体" w:cs="宋体"/>
      <w:color w:val="FF0000"/>
      <w:sz w:val="20"/>
      <w:szCs w:val="20"/>
      <w:u w:val="none"/>
    </w:rPr>
  </w:style>
  <w:style w:type="character" w:customStyle="1" w:styleId="75">
    <w:name w:val="font41"/>
    <w:basedOn w:val="22"/>
    <w:qFormat/>
    <w:uiPriority w:val="0"/>
    <w:rPr>
      <w:rFonts w:hint="default" w:ascii="Arial" w:hAnsi="Arial" w:cs="Arial"/>
      <w:color w:val="FF0000"/>
      <w:sz w:val="20"/>
      <w:szCs w:val="20"/>
      <w:u w:val="none"/>
    </w:rPr>
  </w:style>
  <w:style w:type="character" w:customStyle="1" w:styleId="76">
    <w:name w:val="font11"/>
    <w:basedOn w:val="22"/>
    <w:qFormat/>
    <w:uiPriority w:val="0"/>
    <w:rPr>
      <w:rFonts w:hint="default" w:ascii="Arial" w:hAnsi="Arial" w:cs="Arial"/>
      <w:color w:val="FF0000"/>
      <w:sz w:val="20"/>
      <w:szCs w:val="20"/>
      <w:u w:val="none"/>
    </w:rPr>
  </w:style>
  <w:style w:type="character" w:customStyle="1" w:styleId="77">
    <w:name w:val="Char Char3"/>
    <w:qFormat/>
    <w:locked/>
    <w:uiPriority w:val="0"/>
    <w:rPr>
      <w:rFonts w:ascii="宋体" w:hAnsi="Courier New" w:eastAsia="宋体"/>
      <w:kern w:val="2"/>
      <w:sz w:val="21"/>
      <w:lang w:val="en-US" w:eastAsia="zh-CN" w:bidi="ar-SA"/>
    </w:rPr>
  </w:style>
  <w:style w:type="paragraph" w:customStyle="1" w:styleId="78">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列出段落3"/>
    <w:basedOn w:val="1"/>
    <w:qFormat/>
    <w:uiPriority w:val="0"/>
    <w:pPr>
      <w:ind w:firstLine="420" w:firstLineChars="200"/>
    </w:pPr>
    <w:rPr>
      <w:rFonts w:ascii="Calibri" w:hAnsi="Calibri"/>
      <w:szCs w:val="22"/>
    </w:rPr>
  </w:style>
  <w:style w:type="paragraph" w:customStyle="1" w:styleId="81">
    <w:name w:val="修订2"/>
    <w:hidden/>
    <w:semiHidden/>
    <w:qFormat/>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qFormat/>
    <w:uiPriority w:val="0"/>
    <w:pPr>
      <w:adjustRightInd w:val="0"/>
    </w:pPr>
    <w:rPr>
      <w:rFonts w:ascii="宋体" w:hAnsi="Courier New" w:eastAsia="楷体_GB2312"/>
      <w:sz w:val="26"/>
    </w:rPr>
  </w:style>
  <w:style w:type="character" w:customStyle="1" w:styleId="83">
    <w:name w:val="Plain Text Char"/>
    <w:link w:val="82"/>
    <w:qFormat/>
    <w:locked/>
    <w:uiPriority w:val="0"/>
    <w:rPr>
      <w:rFonts w:ascii="宋体" w:hAnsi="Courier New" w:eastAsia="楷体_GB2312" w:cs="Times New Roman"/>
      <w:kern w:val="2"/>
      <w:sz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47B98-48F9-4456-BB15-93B48865D77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11908</Words>
  <Characters>12633</Characters>
  <Lines>88</Lines>
  <Paragraphs>24</Paragraphs>
  <TotalTime>1</TotalTime>
  <ScaleCrop>false</ScaleCrop>
  <LinksUpToDate>false</LinksUpToDate>
  <CharactersWithSpaces>13616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糖果</cp:lastModifiedBy>
  <cp:lastPrinted>2018-07-30T03:04:00Z</cp:lastPrinted>
  <dcterms:modified xsi:type="dcterms:W3CDTF">2026-02-11T03:59:51Z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eyJoZGlkIjoiMWJlZmE2NGIwM2NkM2MxMzZkMjRkOTE1YzhiMGNkNTciLCJ1c2VySWQiOiI1MTYwNjAyNTIifQ==</vt:lpwstr>
  </property>
  <property fmtid="{D5CDD505-2E9C-101B-9397-08002B2CF9AE}" pid="4" name="ICV">
    <vt:lpwstr>0D084FA27DC044BE802433D0A5FDD3A8_13</vt:lpwstr>
  </property>
</Properties>
</file>